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Default Extension="tiff" ContentType="image/tiff"/>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2AA4" w:rsidRDefault="00E22AA4" w:rsidP="00E22AA4">
      <w:pPr>
        <w:jc w:val="right"/>
        <w:rPr>
          <w:rFonts w:ascii="Arial" w:hAnsi="Arial" w:cs="Arial"/>
          <w:b/>
          <w:noProof/>
          <w:sz w:val="20"/>
          <w:szCs w:val="20"/>
        </w:rPr>
      </w:pPr>
    </w:p>
    <w:p w:rsidR="00BF082C" w:rsidRDefault="00BF082C" w:rsidP="008A4220">
      <w:pPr>
        <w:rPr>
          <w:rFonts w:ascii="Arial" w:hAnsi="Arial" w:cs="Arial"/>
          <w:b/>
          <w:noProof/>
          <w:sz w:val="20"/>
          <w:szCs w:val="20"/>
        </w:rPr>
      </w:pPr>
    </w:p>
    <w:p w:rsidR="00BF082C" w:rsidRPr="001202B2" w:rsidRDefault="00E22AA4" w:rsidP="00BF082C">
      <w:pPr>
        <w:jc w:val="right"/>
        <w:rPr>
          <w:rFonts w:ascii="Arial" w:hAnsi="Arial" w:cs="Arial"/>
          <w:b/>
          <w:noProof/>
          <w:sz w:val="20"/>
          <w:szCs w:val="20"/>
        </w:rPr>
      </w:pPr>
      <w:r>
        <w:rPr>
          <w:rFonts w:ascii="Arial" w:hAnsi="Arial" w:cs="Arial"/>
          <w:b/>
          <w:noProof/>
          <w:sz w:val="20"/>
          <w:szCs w:val="20"/>
        </w:rPr>
        <w:t>89 North State St.</w:t>
      </w:r>
    </w:p>
    <w:p w:rsidR="00F5763A" w:rsidRPr="001202B2" w:rsidRDefault="00E22AA4" w:rsidP="00F5763A">
      <w:pPr>
        <w:jc w:val="right"/>
        <w:rPr>
          <w:rFonts w:ascii="Arial" w:hAnsi="Arial" w:cs="Arial"/>
          <w:b/>
          <w:sz w:val="20"/>
          <w:szCs w:val="20"/>
        </w:rPr>
      </w:pPr>
      <w:r>
        <w:rPr>
          <w:rFonts w:ascii="Arial" w:hAnsi="Arial" w:cs="Arial"/>
          <w:b/>
          <w:sz w:val="20"/>
          <w:szCs w:val="20"/>
        </w:rPr>
        <w:t>Concord, NH 03301</w:t>
      </w:r>
    </w:p>
    <w:p w:rsidR="00F5763A" w:rsidRDefault="00E22AA4" w:rsidP="00F5763A">
      <w:pPr>
        <w:jc w:val="right"/>
        <w:rPr>
          <w:rFonts w:ascii="Arial" w:hAnsi="Arial" w:cs="Arial"/>
          <w:b/>
          <w:sz w:val="20"/>
          <w:szCs w:val="20"/>
        </w:rPr>
      </w:pPr>
      <w:r>
        <w:rPr>
          <w:rFonts w:ascii="Arial" w:hAnsi="Arial" w:cs="Arial"/>
          <w:b/>
          <w:sz w:val="20"/>
          <w:szCs w:val="20"/>
        </w:rPr>
        <w:t>(603) 219-0264</w:t>
      </w:r>
    </w:p>
    <w:p w:rsidR="00FC237A" w:rsidRPr="001202B2" w:rsidRDefault="00E22AA4" w:rsidP="00F5763A">
      <w:pPr>
        <w:jc w:val="right"/>
        <w:rPr>
          <w:rFonts w:ascii="Arial" w:hAnsi="Arial" w:cs="Arial"/>
          <w:b/>
          <w:sz w:val="20"/>
          <w:szCs w:val="20"/>
        </w:rPr>
      </w:pPr>
      <w:r>
        <w:rPr>
          <w:rFonts w:ascii="Arial" w:hAnsi="Arial" w:cs="Arial"/>
          <w:b/>
          <w:sz w:val="20"/>
          <w:szCs w:val="20"/>
        </w:rPr>
        <w:t>www.</w:t>
      </w:r>
      <w:r w:rsidR="00F33D2C">
        <w:rPr>
          <w:rFonts w:ascii="Arial" w:hAnsi="Arial" w:cs="Arial"/>
          <w:b/>
          <w:sz w:val="20"/>
          <w:szCs w:val="20"/>
        </w:rPr>
        <w:t>mckan</w:t>
      </w:r>
      <w:bookmarkStart w:id="0" w:name="_GoBack"/>
      <w:bookmarkEnd w:id="0"/>
      <w:r>
        <w:rPr>
          <w:rFonts w:ascii="Arial" w:hAnsi="Arial" w:cs="Arial"/>
          <w:b/>
          <w:sz w:val="20"/>
          <w:szCs w:val="20"/>
        </w:rPr>
        <w:t>.com</w:t>
      </w:r>
    </w:p>
    <w:p w:rsidR="00F5763A" w:rsidRDefault="00F5763A" w:rsidP="00F5763A">
      <w:pPr>
        <w:jc w:val="right"/>
      </w:pPr>
    </w:p>
    <w:p w:rsidR="00F5763A" w:rsidRDefault="00F5763A" w:rsidP="00F5763A">
      <w:pPr>
        <w:jc w:val="right"/>
      </w:pPr>
    </w:p>
    <w:p w:rsidR="00F5763A" w:rsidRDefault="00E22AA4" w:rsidP="00E22AA4">
      <w:pPr>
        <w:tabs>
          <w:tab w:val="left" w:pos="2460"/>
        </w:tabs>
      </w:pPr>
      <w:r>
        <w:tab/>
      </w:r>
    </w:p>
    <w:p w:rsidR="00F5763A" w:rsidRDefault="00F5763A" w:rsidP="00F5763A">
      <w:pPr>
        <w:jc w:val="right"/>
      </w:pPr>
    </w:p>
    <w:p w:rsidR="00F5763A" w:rsidRDefault="00F5763A" w:rsidP="00F5763A">
      <w:pPr>
        <w:jc w:val="right"/>
      </w:pPr>
    </w:p>
    <w:p w:rsidR="00F5763A" w:rsidRDefault="00F5763A" w:rsidP="00F5763A">
      <w:pPr>
        <w:jc w:val="right"/>
      </w:pPr>
    </w:p>
    <w:p w:rsidR="00F5763A" w:rsidRDefault="00F5763A" w:rsidP="00F5763A">
      <w:pPr>
        <w:jc w:val="right"/>
      </w:pPr>
    </w:p>
    <w:p w:rsidR="00F5763A" w:rsidRDefault="00F5763A" w:rsidP="00F5763A">
      <w:pPr>
        <w:jc w:val="right"/>
      </w:pPr>
    </w:p>
    <w:p w:rsidR="00F5763A" w:rsidRDefault="00F5763A" w:rsidP="00F5763A">
      <w:pPr>
        <w:jc w:val="right"/>
      </w:pPr>
    </w:p>
    <w:p w:rsidR="001202B2" w:rsidRDefault="001202B2" w:rsidP="00F5763A">
      <w:pPr>
        <w:jc w:val="right"/>
      </w:pPr>
    </w:p>
    <w:p w:rsidR="00F5763A" w:rsidRDefault="00F5763A" w:rsidP="00F5763A">
      <w:pPr>
        <w:jc w:val="right"/>
      </w:pPr>
    </w:p>
    <w:p w:rsidR="008A4220" w:rsidRDefault="008A4220" w:rsidP="008A4220">
      <w:pPr>
        <w:jc w:val="right"/>
        <w:rPr>
          <w:rFonts w:asciiTheme="minorHAnsi" w:hAnsiTheme="minorHAnsi"/>
          <w:b/>
          <w:bCs/>
          <w:sz w:val="32"/>
          <w:szCs w:val="32"/>
        </w:rPr>
      </w:pPr>
      <w:r w:rsidRPr="00D23523">
        <w:rPr>
          <w:rFonts w:asciiTheme="minorHAnsi" w:hAnsiTheme="minorHAnsi"/>
          <w:b/>
          <w:bCs/>
          <w:sz w:val="32"/>
          <w:szCs w:val="32"/>
        </w:rPr>
        <w:t xml:space="preserve">USING </w:t>
      </w:r>
      <w:r>
        <w:rPr>
          <w:rFonts w:asciiTheme="minorHAnsi" w:hAnsiTheme="minorHAnsi"/>
          <w:b/>
          <w:bCs/>
          <w:sz w:val="32"/>
          <w:szCs w:val="32"/>
        </w:rPr>
        <w:t xml:space="preserve">A </w:t>
      </w:r>
      <w:r w:rsidRPr="00D23523">
        <w:rPr>
          <w:rFonts w:asciiTheme="minorHAnsi" w:hAnsiTheme="minorHAnsi"/>
          <w:b/>
          <w:bCs/>
          <w:sz w:val="32"/>
          <w:szCs w:val="32"/>
        </w:rPr>
        <w:t xml:space="preserve">NEW HAMPSHIRE </w:t>
      </w:r>
      <w:r>
        <w:rPr>
          <w:rFonts w:asciiTheme="minorHAnsi" w:hAnsiTheme="minorHAnsi"/>
          <w:b/>
          <w:bCs/>
          <w:sz w:val="32"/>
          <w:szCs w:val="32"/>
        </w:rPr>
        <w:t xml:space="preserve">APT SHELTER TRUST </w:t>
      </w:r>
      <w:r w:rsidRPr="00D23523">
        <w:rPr>
          <w:rFonts w:asciiTheme="minorHAnsi" w:hAnsiTheme="minorHAnsi"/>
          <w:b/>
          <w:bCs/>
          <w:sz w:val="32"/>
          <w:szCs w:val="32"/>
        </w:rPr>
        <w:t xml:space="preserve">TO </w:t>
      </w:r>
    </w:p>
    <w:p w:rsidR="00F5763A" w:rsidRPr="008A4220" w:rsidRDefault="008A4220" w:rsidP="008A4220">
      <w:pPr>
        <w:jc w:val="right"/>
        <w:rPr>
          <w:rFonts w:asciiTheme="minorHAnsi" w:hAnsiTheme="minorHAnsi"/>
        </w:rPr>
      </w:pPr>
      <w:r w:rsidRPr="00D23523">
        <w:rPr>
          <w:rFonts w:asciiTheme="minorHAnsi" w:hAnsiTheme="minorHAnsi"/>
          <w:b/>
          <w:bCs/>
          <w:sz w:val="32"/>
          <w:szCs w:val="32"/>
        </w:rPr>
        <w:t xml:space="preserve">ELIMINATE </w:t>
      </w:r>
      <w:r>
        <w:rPr>
          <w:rFonts w:asciiTheme="minorHAnsi" w:hAnsiTheme="minorHAnsi"/>
          <w:b/>
          <w:bCs/>
          <w:sz w:val="32"/>
          <w:szCs w:val="32"/>
        </w:rPr>
        <w:t>STATE INCOME TAX</w:t>
      </w:r>
      <w:r w:rsidR="009E3DB8" w:rsidRPr="00CA1761">
        <w:rPr>
          <w:rFonts w:ascii="Arial" w:hAnsi="Arial" w:cs="Arial"/>
          <w:b/>
          <w:sz w:val="40"/>
          <w:szCs w:val="32"/>
        </w:rPr>
        <w:t>:</w:t>
      </w:r>
    </w:p>
    <w:p w:rsidR="008A4220" w:rsidRPr="00D23523" w:rsidRDefault="00CA1761" w:rsidP="008A4220">
      <w:pPr>
        <w:jc w:val="right"/>
        <w:rPr>
          <w:rFonts w:asciiTheme="minorHAnsi" w:hAnsiTheme="minorHAnsi"/>
          <w:b/>
          <w:bCs/>
          <w:i/>
          <w:iCs/>
        </w:rPr>
      </w:pPr>
      <w:r w:rsidRPr="00CA1761">
        <w:rPr>
          <w:rFonts w:asciiTheme="minorHAnsi" w:hAnsiTheme="minorHAnsi"/>
          <w:b/>
          <w:i/>
        </w:rPr>
        <w:t xml:space="preserve"> </w:t>
      </w:r>
      <w:r w:rsidR="008A4220" w:rsidRPr="00D23523">
        <w:rPr>
          <w:rFonts w:asciiTheme="minorHAnsi" w:hAnsiTheme="minorHAnsi"/>
          <w:b/>
          <w:bCs/>
          <w:i/>
          <w:iCs/>
        </w:rPr>
        <w:t xml:space="preserve">These Specialized Versions of New Hampshire Self-Settled Asset Protection Trusts </w:t>
      </w:r>
      <w:r w:rsidR="008A4220">
        <w:rPr>
          <w:rFonts w:asciiTheme="minorHAnsi" w:hAnsiTheme="minorHAnsi"/>
          <w:b/>
          <w:bCs/>
          <w:i/>
          <w:iCs/>
        </w:rPr>
        <w:t>M</w:t>
      </w:r>
      <w:r w:rsidR="008A4220" w:rsidRPr="00D23523">
        <w:rPr>
          <w:rFonts w:asciiTheme="minorHAnsi" w:hAnsiTheme="minorHAnsi"/>
          <w:b/>
          <w:bCs/>
          <w:i/>
          <w:iCs/>
        </w:rPr>
        <w:t xml:space="preserve">ay </w:t>
      </w:r>
      <w:r w:rsidR="008A4220">
        <w:rPr>
          <w:rFonts w:asciiTheme="minorHAnsi" w:hAnsiTheme="minorHAnsi"/>
          <w:b/>
          <w:bCs/>
          <w:i/>
          <w:iCs/>
        </w:rPr>
        <w:t>B</w:t>
      </w:r>
      <w:r w:rsidR="008A4220" w:rsidRPr="00D23523">
        <w:rPr>
          <w:rFonts w:asciiTheme="minorHAnsi" w:hAnsiTheme="minorHAnsi"/>
          <w:b/>
          <w:bCs/>
          <w:i/>
          <w:iCs/>
        </w:rPr>
        <w:t>e Particularly Attractive to Residents of New York and Massachusetts</w:t>
      </w:r>
    </w:p>
    <w:p w:rsidR="00F5763A" w:rsidRDefault="00F5763A" w:rsidP="008A4220">
      <w:pPr>
        <w:spacing w:line="276" w:lineRule="auto"/>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BF082C" w:rsidRDefault="00BF082C"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F5763A" w:rsidRDefault="00F5763A" w:rsidP="00F5763A">
      <w:pPr>
        <w:jc w:val="right"/>
        <w:rPr>
          <w:rFonts w:ascii="Arial" w:hAnsi="Arial" w:cs="Arial"/>
          <w:b/>
          <w:sz w:val="32"/>
          <w:szCs w:val="32"/>
        </w:rPr>
      </w:pPr>
    </w:p>
    <w:p w:rsidR="00BF082C" w:rsidRDefault="00BF082C" w:rsidP="00F5763A">
      <w:pPr>
        <w:jc w:val="right"/>
        <w:rPr>
          <w:rFonts w:ascii="Arial" w:hAnsi="Arial" w:cs="Arial"/>
          <w:b/>
          <w:sz w:val="32"/>
          <w:szCs w:val="32"/>
        </w:rPr>
      </w:pPr>
    </w:p>
    <w:p w:rsidR="00BF082C" w:rsidRDefault="00BF082C" w:rsidP="00F5763A">
      <w:pPr>
        <w:jc w:val="right"/>
        <w:rPr>
          <w:rFonts w:ascii="Arial" w:hAnsi="Arial" w:cs="Arial"/>
          <w:b/>
          <w:sz w:val="32"/>
          <w:szCs w:val="32"/>
        </w:rPr>
      </w:pPr>
    </w:p>
    <w:p w:rsidR="00F5763A" w:rsidRPr="008A4220" w:rsidRDefault="00F5763A" w:rsidP="00F5763A">
      <w:pPr>
        <w:jc w:val="right"/>
        <w:rPr>
          <w:rFonts w:ascii="Arial" w:hAnsi="Arial" w:cs="Arial"/>
          <w:i/>
          <w:szCs w:val="28"/>
        </w:rPr>
      </w:pPr>
      <w:r w:rsidRPr="008A4220">
        <w:rPr>
          <w:rFonts w:ascii="Arial" w:hAnsi="Arial" w:cs="Arial"/>
          <w:i/>
          <w:szCs w:val="28"/>
        </w:rPr>
        <w:t>By</w:t>
      </w:r>
      <w:r w:rsidR="0083057E">
        <w:rPr>
          <w:rFonts w:ascii="Arial" w:hAnsi="Arial" w:cs="Arial"/>
          <w:i/>
          <w:szCs w:val="28"/>
        </w:rPr>
        <w:t>:</w:t>
      </w:r>
      <w:r w:rsidRPr="008A4220">
        <w:rPr>
          <w:rFonts w:ascii="Arial" w:hAnsi="Arial" w:cs="Arial"/>
          <w:i/>
          <w:szCs w:val="28"/>
        </w:rPr>
        <w:t xml:space="preserve"> </w:t>
      </w:r>
      <w:r w:rsidR="00CA1761" w:rsidRPr="008A4220">
        <w:rPr>
          <w:rFonts w:ascii="Arial" w:hAnsi="Arial" w:cs="Arial"/>
          <w:i/>
          <w:szCs w:val="28"/>
        </w:rPr>
        <w:t>Amy Kanyuk, E</w:t>
      </w:r>
      <w:r w:rsidR="0083057E">
        <w:rPr>
          <w:rFonts w:ascii="Arial" w:hAnsi="Arial" w:cs="Arial"/>
          <w:i/>
          <w:szCs w:val="28"/>
        </w:rPr>
        <w:t>sq</w:t>
      </w:r>
      <w:r w:rsidR="00CA1761" w:rsidRPr="008A4220">
        <w:rPr>
          <w:rFonts w:ascii="Arial" w:hAnsi="Arial" w:cs="Arial"/>
          <w:i/>
          <w:szCs w:val="28"/>
        </w:rPr>
        <w:t>.</w:t>
      </w:r>
    </w:p>
    <w:p w:rsidR="008A4220" w:rsidRPr="008A4220" w:rsidRDefault="008A4220" w:rsidP="00F5763A">
      <w:pPr>
        <w:jc w:val="right"/>
        <w:rPr>
          <w:rFonts w:ascii="Arial" w:hAnsi="Arial" w:cs="Arial"/>
          <w:i/>
          <w:szCs w:val="28"/>
        </w:rPr>
      </w:pPr>
      <w:r w:rsidRPr="008A4220">
        <w:rPr>
          <w:rFonts w:ascii="Arial" w:hAnsi="Arial" w:cs="Arial"/>
          <w:i/>
          <w:szCs w:val="28"/>
        </w:rPr>
        <w:t>McDonald &amp; Kanyuk, PLLC</w:t>
      </w:r>
    </w:p>
    <w:p w:rsidR="008A4220" w:rsidRPr="008A4220" w:rsidRDefault="008A4220" w:rsidP="00F5763A">
      <w:pPr>
        <w:jc w:val="right"/>
        <w:rPr>
          <w:rFonts w:ascii="Arial" w:hAnsi="Arial" w:cs="Arial"/>
          <w:i/>
          <w:szCs w:val="28"/>
        </w:rPr>
      </w:pPr>
      <w:r w:rsidRPr="008A4220">
        <w:rPr>
          <w:rFonts w:ascii="Arial" w:hAnsi="Arial" w:cs="Arial"/>
          <w:i/>
          <w:szCs w:val="28"/>
        </w:rPr>
        <w:t xml:space="preserve">Concord, </w:t>
      </w:r>
      <w:r w:rsidR="00A2147E">
        <w:rPr>
          <w:rFonts w:ascii="Arial" w:hAnsi="Arial" w:cs="Arial"/>
          <w:i/>
          <w:szCs w:val="28"/>
        </w:rPr>
        <w:t>New Hampshire</w:t>
      </w:r>
    </w:p>
    <w:p w:rsidR="00F5763A" w:rsidRDefault="00F5763A" w:rsidP="00F5763A">
      <w:pPr>
        <w:jc w:val="right"/>
        <w:rPr>
          <w:rFonts w:ascii="Arial" w:hAnsi="Arial" w:cs="Arial"/>
          <w:i/>
          <w:sz w:val="28"/>
          <w:szCs w:val="28"/>
        </w:rPr>
      </w:pPr>
    </w:p>
    <w:p w:rsidR="00F5763A" w:rsidRDefault="00F5763A" w:rsidP="00F5763A">
      <w:pPr>
        <w:jc w:val="right"/>
        <w:rPr>
          <w:rFonts w:ascii="Arial" w:hAnsi="Arial" w:cs="Arial"/>
          <w:i/>
          <w:sz w:val="28"/>
          <w:szCs w:val="28"/>
        </w:rPr>
      </w:pPr>
    </w:p>
    <w:p w:rsidR="001202B2" w:rsidRDefault="001202B2" w:rsidP="00F5763A">
      <w:pPr>
        <w:rPr>
          <w:rFonts w:ascii="Arial" w:hAnsi="Arial" w:cs="Arial"/>
          <w:sz w:val="28"/>
          <w:szCs w:val="28"/>
        </w:rPr>
        <w:sectPr w:rsidR="001202B2">
          <w:headerReference w:type="default" r:id="rId8"/>
          <w:footerReference w:type="default" r:id="rId9"/>
          <w:headerReference w:type="first" r:id="rId10"/>
          <w:footerReference w:type="first" r:id="rId11"/>
          <w:pgSz w:w="12240" w:h="15840"/>
          <w:pgMar w:top="1440" w:right="1800" w:bottom="1440" w:left="1800" w:header="288" w:footer="288" w:gutter="0"/>
          <w:pgBorders w:offsetFrom="page">
            <w:top w:val="single" w:sz="8" w:space="24" w:color="auto"/>
            <w:left w:val="single" w:sz="8" w:space="24" w:color="auto"/>
            <w:bottom w:val="single" w:sz="8" w:space="24" w:color="auto"/>
            <w:right w:val="single" w:sz="8" w:space="24" w:color="auto"/>
          </w:pgBorders>
          <w:titlePg/>
          <w:docGrid w:linePitch="360"/>
        </w:sectPr>
      </w:pPr>
    </w:p>
    <w:p w:rsidR="008A4220" w:rsidRPr="00D23523" w:rsidRDefault="008A4220" w:rsidP="008A4220">
      <w:pPr>
        <w:tabs>
          <w:tab w:val="left" w:pos="759"/>
        </w:tabs>
        <w:jc w:val="both"/>
        <w:rPr>
          <w:rFonts w:asciiTheme="minorHAnsi" w:hAnsiTheme="minorHAnsi"/>
          <w:b/>
        </w:rPr>
      </w:pPr>
      <w:r w:rsidRPr="00D23523">
        <w:rPr>
          <w:rFonts w:asciiTheme="minorHAnsi" w:hAnsiTheme="minorHAnsi"/>
          <w:b/>
          <w:u w:val="single"/>
        </w:rPr>
        <w:t>Introduction</w:t>
      </w:r>
    </w:p>
    <w:p w:rsidR="008A4220" w:rsidRPr="00D23523" w:rsidRDefault="008A4220" w:rsidP="008A4220">
      <w:pPr>
        <w:tabs>
          <w:tab w:val="left" w:pos="759"/>
          <w:tab w:val="left" w:pos="1525"/>
        </w:tabs>
        <w:jc w:val="both"/>
        <w:rPr>
          <w:rFonts w:asciiTheme="minorHAnsi" w:hAnsiTheme="minorHAnsi"/>
        </w:rPr>
      </w:pPr>
    </w:p>
    <w:p w:rsidR="008A4220" w:rsidRPr="00D23523" w:rsidRDefault="008A4220" w:rsidP="008A4220">
      <w:pPr>
        <w:rPr>
          <w:rFonts w:asciiTheme="minorHAnsi" w:hAnsiTheme="minorHAnsi"/>
        </w:rPr>
      </w:pPr>
      <w:r w:rsidRPr="00D23523">
        <w:rPr>
          <w:rFonts w:asciiTheme="minorHAnsi" w:hAnsiTheme="minorHAnsi"/>
        </w:rPr>
        <w:t xml:space="preserve">Recent trust and tax law reforms in New Hampshire provide an opportunity for residents of certain high income tax states to use a specific type of irrevocable trust to avoid state income taxation on capital gains and interest and dividend income realized by the trust.  Although the trust is irrevocable, the settlor (i.e., the client) can be a beneficiary of </w:t>
      </w:r>
      <w:r>
        <w:rPr>
          <w:rFonts w:asciiTheme="minorHAnsi" w:hAnsiTheme="minorHAnsi"/>
        </w:rPr>
        <w:t>the trust</w:t>
      </w:r>
      <w:r w:rsidRPr="00D23523">
        <w:rPr>
          <w:rFonts w:asciiTheme="minorHAnsi" w:hAnsiTheme="minorHAnsi"/>
        </w:rPr>
        <w:t xml:space="preserve">, and the trust property will be protected from the settlor’s creditors.  If the settlor and beneficiaries of the trust reside in a state that does not tax </w:t>
      </w:r>
      <w:r>
        <w:rPr>
          <w:rFonts w:asciiTheme="minorHAnsi" w:hAnsiTheme="minorHAnsi"/>
        </w:rPr>
        <w:t xml:space="preserve">a </w:t>
      </w:r>
      <w:r w:rsidRPr="00D23523">
        <w:rPr>
          <w:rFonts w:asciiTheme="minorHAnsi" w:hAnsiTheme="minorHAnsi"/>
        </w:rPr>
        <w:t xml:space="preserve">trust based on the residence of </w:t>
      </w:r>
      <w:r>
        <w:rPr>
          <w:rFonts w:asciiTheme="minorHAnsi" w:hAnsiTheme="minorHAnsi"/>
        </w:rPr>
        <w:t xml:space="preserve">its </w:t>
      </w:r>
      <w:r w:rsidRPr="00D23523">
        <w:rPr>
          <w:rFonts w:asciiTheme="minorHAnsi" w:hAnsiTheme="minorHAnsi"/>
        </w:rPr>
        <w:t xml:space="preserve">settlor </w:t>
      </w:r>
      <w:r>
        <w:rPr>
          <w:rFonts w:asciiTheme="minorHAnsi" w:hAnsiTheme="minorHAnsi"/>
        </w:rPr>
        <w:t xml:space="preserve">or </w:t>
      </w:r>
      <w:r w:rsidRPr="00D23523">
        <w:rPr>
          <w:rFonts w:asciiTheme="minorHAnsi" w:hAnsiTheme="minorHAnsi"/>
        </w:rPr>
        <w:t>beneficiaries,</w:t>
      </w:r>
      <w:r>
        <w:rPr>
          <w:rFonts w:asciiTheme="minorHAnsi" w:hAnsiTheme="minorHAnsi"/>
        </w:rPr>
        <w:t xml:space="preserve"> </w:t>
      </w:r>
      <w:r w:rsidRPr="00D23523">
        <w:rPr>
          <w:rFonts w:asciiTheme="minorHAnsi" w:hAnsiTheme="minorHAnsi"/>
        </w:rPr>
        <w:t xml:space="preserve">such as New York or Massachusetts, the trust can avoid state income taxation altogether.  The settlor’s transfer of property to the trust can be either a completed or incomplete gift for federal transfer tax purposes, depending upon the client’s goals in creating the trust.  </w:t>
      </w:r>
    </w:p>
    <w:p w:rsidR="008A4220" w:rsidRPr="00D23523" w:rsidRDefault="008A4220" w:rsidP="008A4220">
      <w:pPr>
        <w:rPr>
          <w:rFonts w:asciiTheme="minorHAnsi" w:hAnsiTheme="minorHAnsi"/>
        </w:rPr>
      </w:pPr>
    </w:p>
    <w:p w:rsidR="008A4220" w:rsidRPr="00D23523" w:rsidRDefault="008A4220" w:rsidP="008A4220">
      <w:pPr>
        <w:rPr>
          <w:rFonts w:asciiTheme="minorHAnsi" w:hAnsiTheme="minorHAnsi"/>
          <w:b/>
          <w:u w:val="single"/>
        </w:rPr>
      </w:pPr>
      <w:r w:rsidRPr="00D23523">
        <w:rPr>
          <w:rFonts w:asciiTheme="minorHAnsi" w:hAnsiTheme="minorHAnsi"/>
          <w:b/>
          <w:u w:val="single"/>
        </w:rPr>
        <w:t>Legal Framework</w:t>
      </w:r>
    </w:p>
    <w:p w:rsidR="008A4220" w:rsidRPr="00D23523" w:rsidRDefault="008A4220" w:rsidP="008A4220">
      <w:pPr>
        <w:rPr>
          <w:rFonts w:asciiTheme="minorHAnsi" w:hAnsiTheme="minorHAnsi"/>
        </w:rPr>
      </w:pPr>
    </w:p>
    <w:p w:rsidR="008A4220" w:rsidRPr="00D23523" w:rsidRDefault="008A4220" w:rsidP="008A4220">
      <w:pPr>
        <w:rPr>
          <w:rFonts w:asciiTheme="minorHAnsi" w:hAnsiTheme="minorHAnsi"/>
        </w:rPr>
      </w:pPr>
      <w:r w:rsidRPr="00D23523">
        <w:rPr>
          <w:rFonts w:asciiTheme="minorHAnsi" w:hAnsiTheme="minorHAnsi"/>
        </w:rPr>
        <w:t>The trust (which is sometimes called an “asset protection trust” or an “APT”), must have at least one trustee located in New Hampshire.  Some states, including New York and Massachusetts, require a significant, current connection between a trust and the state in order to subject the trust to state income tax.  Consequently, neither New York nor Massachusetts will tax a trust if all of the following conditions are met:</w:t>
      </w:r>
    </w:p>
    <w:p w:rsidR="008A4220" w:rsidRPr="00D23523" w:rsidRDefault="008A4220" w:rsidP="008A4220">
      <w:pPr>
        <w:ind w:left="1440"/>
        <w:rPr>
          <w:rFonts w:asciiTheme="minorHAnsi" w:hAnsiTheme="minorHAnsi"/>
        </w:rPr>
      </w:pPr>
    </w:p>
    <w:p w:rsidR="008A4220" w:rsidRPr="00D23523" w:rsidRDefault="008A4220" w:rsidP="008A4220">
      <w:pPr>
        <w:numPr>
          <w:ilvl w:val="0"/>
          <w:numId w:val="16"/>
        </w:numPr>
        <w:rPr>
          <w:rFonts w:asciiTheme="minorHAnsi" w:hAnsiTheme="minorHAnsi"/>
        </w:rPr>
      </w:pPr>
      <w:r w:rsidRPr="00D23523">
        <w:rPr>
          <w:rFonts w:asciiTheme="minorHAnsi" w:hAnsiTheme="minorHAnsi"/>
        </w:rPr>
        <w:t>All of the trustees are domiciled in another state;</w:t>
      </w:r>
    </w:p>
    <w:p w:rsidR="008A4220" w:rsidRPr="00D23523" w:rsidRDefault="008A4220" w:rsidP="008A4220">
      <w:pPr>
        <w:numPr>
          <w:ilvl w:val="0"/>
          <w:numId w:val="16"/>
        </w:numPr>
        <w:rPr>
          <w:rFonts w:asciiTheme="minorHAnsi" w:hAnsiTheme="minorHAnsi"/>
        </w:rPr>
      </w:pPr>
      <w:r w:rsidRPr="00D23523">
        <w:rPr>
          <w:rFonts w:asciiTheme="minorHAnsi" w:hAnsiTheme="minorHAnsi"/>
        </w:rPr>
        <w:t xml:space="preserve">The entire corpus of the trust, including real estate and tangible property, is located outside of the state; and </w:t>
      </w:r>
    </w:p>
    <w:p w:rsidR="008A4220" w:rsidRPr="00D23523" w:rsidRDefault="008A4220" w:rsidP="008A4220">
      <w:pPr>
        <w:numPr>
          <w:ilvl w:val="0"/>
          <w:numId w:val="16"/>
        </w:numPr>
        <w:rPr>
          <w:rFonts w:asciiTheme="minorHAnsi" w:hAnsiTheme="minorHAnsi"/>
        </w:rPr>
      </w:pPr>
      <w:r w:rsidRPr="00D23523">
        <w:rPr>
          <w:rFonts w:asciiTheme="minorHAnsi" w:hAnsiTheme="minorHAnsi"/>
        </w:rPr>
        <w:t>All income and gains of the trust are derived from non-New York or Massachusetts sources.</w:t>
      </w:r>
    </w:p>
    <w:p w:rsidR="008A4220" w:rsidRPr="00D23523" w:rsidRDefault="008A4220" w:rsidP="008A4220">
      <w:pPr>
        <w:rPr>
          <w:rFonts w:asciiTheme="minorHAnsi" w:hAnsiTheme="minorHAnsi"/>
        </w:rPr>
      </w:pPr>
    </w:p>
    <w:p w:rsidR="008A4220" w:rsidRPr="00D23523" w:rsidRDefault="008A4220" w:rsidP="008A4220">
      <w:pPr>
        <w:rPr>
          <w:rFonts w:asciiTheme="minorHAnsi" w:hAnsiTheme="minorHAnsi"/>
        </w:rPr>
      </w:pPr>
      <w:r w:rsidRPr="00D23523">
        <w:rPr>
          <w:rFonts w:asciiTheme="minorHAnsi" w:hAnsiTheme="minorHAnsi"/>
        </w:rPr>
        <w:t>New York and Massachusetts residents therefore can avoid taxes on income by creating a New Hampshire</w:t>
      </w:r>
      <w:r>
        <w:rPr>
          <w:rFonts w:asciiTheme="minorHAnsi" w:hAnsiTheme="minorHAnsi"/>
        </w:rPr>
        <w:t xml:space="preserve"> APT</w:t>
      </w:r>
      <w:r w:rsidRPr="00D23523">
        <w:rPr>
          <w:rFonts w:asciiTheme="minorHAnsi" w:hAnsiTheme="minorHAnsi"/>
        </w:rPr>
        <w:t xml:space="preserve"> and appointing a New Hampshire trustee.  </w:t>
      </w:r>
      <w:r>
        <w:rPr>
          <w:rFonts w:asciiTheme="minorHAnsi" w:hAnsiTheme="minorHAnsi"/>
        </w:rPr>
        <w:t>T</w:t>
      </w:r>
      <w:r w:rsidRPr="00D23523">
        <w:rPr>
          <w:rFonts w:asciiTheme="minorHAnsi" w:hAnsiTheme="minorHAnsi"/>
        </w:rPr>
        <w:t xml:space="preserve">he APT must be a “non-grantor” </w:t>
      </w:r>
      <w:r>
        <w:rPr>
          <w:rFonts w:asciiTheme="minorHAnsi" w:hAnsiTheme="minorHAnsi"/>
        </w:rPr>
        <w:t xml:space="preserve">trust </w:t>
      </w:r>
      <w:r w:rsidRPr="00D23523">
        <w:rPr>
          <w:rFonts w:asciiTheme="minorHAnsi" w:hAnsiTheme="minorHAnsi"/>
        </w:rPr>
        <w:t>for federal income tax purposes.  The APT will be a “non-grantor” trust if both of the following conditions are met:</w:t>
      </w:r>
    </w:p>
    <w:p w:rsidR="008A4220" w:rsidRPr="00D23523" w:rsidRDefault="008A4220" w:rsidP="008A4220">
      <w:pPr>
        <w:ind w:left="1440"/>
        <w:rPr>
          <w:rFonts w:asciiTheme="minorHAnsi" w:hAnsiTheme="minorHAnsi"/>
        </w:rPr>
      </w:pPr>
    </w:p>
    <w:p w:rsidR="008A4220" w:rsidRPr="00BA2CD7" w:rsidRDefault="008A4220" w:rsidP="00BA2CD7">
      <w:pPr>
        <w:numPr>
          <w:ilvl w:val="0"/>
          <w:numId w:val="17"/>
        </w:numPr>
        <w:rPr>
          <w:rFonts w:asciiTheme="minorHAnsi" w:hAnsiTheme="minorHAnsi"/>
        </w:rPr>
      </w:pPr>
      <w:r w:rsidRPr="00D23523">
        <w:rPr>
          <w:rFonts w:asciiTheme="minorHAnsi" w:hAnsiTheme="minorHAnsi"/>
        </w:rPr>
        <w:t>The trust</w:t>
      </w:r>
      <w:r>
        <w:rPr>
          <w:rFonts w:asciiTheme="minorHAnsi" w:hAnsiTheme="minorHAnsi"/>
        </w:rPr>
        <w:t>’s</w:t>
      </w:r>
      <w:r w:rsidRPr="00D23523">
        <w:rPr>
          <w:rFonts w:asciiTheme="minorHAnsi" w:hAnsiTheme="minorHAnsi"/>
        </w:rPr>
        <w:t xml:space="preserve"> income and principal may be distributed to a beneficiary, or accumulated by the trust, only with the consent of the members of a “distribution committee” all of whom are trust beneficiaries (excluding the settlor and the settlor’s spouse); and</w:t>
      </w:r>
    </w:p>
    <w:p w:rsidR="008A4220" w:rsidRPr="00D23523" w:rsidRDefault="008A4220" w:rsidP="008A4220">
      <w:pPr>
        <w:numPr>
          <w:ilvl w:val="0"/>
          <w:numId w:val="17"/>
        </w:numPr>
        <w:rPr>
          <w:rFonts w:asciiTheme="minorHAnsi" w:hAnsiTheme="minorHAnsi"/>
        </w:rPr>
      </w:pPr>
      <w:r w:rsidRPr="00D23523">
        <w:rPr>
          <w:rFonts w:asciiTheme="minorHAnsi" w:hAnsiTheme="minorHAnsi"/>
        </w:rPr>
        <w:t>The settlor’s only power to control beneficial enjoyment is the power to direct to whom the remaining trust property is distributed upon the settlor’s death.</w:t>
      </w:r>
      <w:r w:rsidRPr="00D23523">
        <w:rPr>
          <w:rStyle w:val="FootnoteReference"/>
          <w:rFonts w:asciiTheme="minorHAnsi" w:hAnsiTheme="minorHAnsi"/>
        </w:rPr>
        <w:footnoteReference w:id="2"/>
      </w:r>
    </w:p>
    <w:p w:rsidR="008A4220" w:rsidRDefault="008A4220" w:rsidP="008A4220">
      <w:pPr>
        <w:rPr>
          <w:rFonts w:asciiTheme="minorHAnsi" w:hAnsiTheme="minorHAnsi"/>
        </w:rPr>
      </w:pPr>
    </w:p>
    <w:p w:rsidR="008A4220" w:rsidRDefault="008A4220" w:rsidP="008A4220">
      <w:pPr>
        <w:rPr>
          <w:rFonts w:asciiTheme="minorHAnsi" w:hAnsiTheme="minorHAnsi"/>
        </w:rPr>
      </w:pPr>
      <w:r>
        <w:rPr>
          <w:rFonts w:asciiTheme="minorHAnsi" w:hAnsiTheme="minorHAnsi"/>
        </w:rPr>
        <w:t xml:space="preserve">Importantly, New Hampshire does not impose any tax whatsoever on trusts that have no New Hampshire beneficiaries.  </w:t>
      </w:r>
    </w:p>
    <w:p w:rsidR="008A4220" w:rsidRPr="00D23523" w:rsidRDefault="008A4220" w:rsidP="008A4220">
      <w:pPr>
        <w:rPr>
          <w:rFonts w:asciiTheme="minorHAnsi" w:hAnsiTheme="minorHAnsi"/>
        </w:rPr>
      </w:pPr>
    </w:p>
    <w:p w:rsidR="008A4220" w:rsidRPr="00D23523" w:rsidRDefault="008A4220" w:rsidP="008A4220">
      <w:pPr>
        <w:rPr>
          <w:rFonts w:asciiTheme="minorHAnsi" w:hAnsiTheme="minorHAnsi"/>
          <w:b/>
          <w:u w:val="single"/>
        </w:rPr>
      </w:pPr>
      <w:r w:rsidRPr="00D23523">
        <w:rPr>
          <w:rFonts w:asciiTheme="minorHAnsi" w:hAnsiTheme="minorHAnsi"/>
          <w:b/>
          <w:u w:val="single"/>
        </w:rPr>
        <w:t>Avoiding Abuse</w:t>
      </w:r>
    </w:p>
    <w:p w:rsidR="008A4220" w:rsidRPr="00D23523" w:rsidRDefault="008A4220" w:rsidP="008A4220">
      <w:pPr>
        <w:rPr>
          <w:rFonts w:asciiTheme="minorHAnsi" w:hAnsiTheme="minorHAnsi"/>
          <w:u w:val="single"/>
        </w:rPr>
      </w:pPr>
    </w:p>
    <w:p w:rsidR="008A4220" w:rsidRPr="00D23523" w:rsidRDefault="008A4220" w:rsidP="008A4220">
      <w:pPr>
        <w:rPr>
          <w:rFonts w:asciiTheme="minorHAnsi" w:hAnsiTheme="minorHAnsi"/>
        </w:rPr>
      </w:pPr>
      <w:r>
        <w:rPr>
          <w:rFonts w:asciiTheme="minorHAnsi" w:hAnsiTheme="minorHAnsi"/>
        </w:rPr>
        <w:t xml:space="preserve">To avoid possible question of this strategy by a state’s revenue department, a settlor </w:t>
      </w:r>
      <w:r w:rsidRPr="00D23523">
        <w:rPr>
          <w:rFonts w:asciiTheme="minorHAnsi" w:hAnsiTheme="minorHAnsi"/>
        </w:rPr>
        <w:t xml:space="preserve">should </w:t>
      </w:r>
      <w:r>
        <w:rPr>
          <w:rFonts w:asciiTheme="minorHAnsi" w:hAnsiTheme="minorHAnsi"/>
        </w:rPr>
        <w:t xml:space="preserve">not fund an APT </w:t>
      </w:r>
      <w:r w:rsidRPr="00D23523">
        <w:rPr>
          <w:rFonts w:asciiTheme="minorHAnsi" w:hAnsiTheme="minorHAnsi"/>
        </w:rPr>
        <w:t>with assets likely to be sold shortly after the creation of the trust.  In addition</w:t>
      </w:r>
      <w:r>
        <w:rPr>
          <w:rFonts w:asciiTheme="minorHAnsi" w:hAnsiTheme="minorHAnsi"/>
        </w:rPr>
        <w:t xml:space="preserve">, there should be no </w:t>
      </w:r>
      <w:r w:rsidRPr="00D23523">
        <w:rPr>
          <w:rFonts w:asciiTheme="minorHAnsi" w:hAnsiTheme="minorHAnsi"/>
        </w:rPr>
        <w:t>prearrange</w:t>
      </w:r>
      <w:r>
        <w:rPr>
          <w:rFonts w:asciiTheme="minorHAnsi" w:hAnsiTheme="minorHAnsi"/>
        </w:rPr>
        <w:t xml:space="preserve">ment between the settlor and the distribution committee </w:t>
      </w:r>
      <w:r w:rsidRPr="00D23523">
        <w:rPr>
          <w:rFonts w:asciiTheme="minorHAnsi" w:hAnsiTheme="minorHAnsi"/>
        </w:rPr>
        <w:t>to distribute assets back to the settlor</w:t>
      </w:r>
      <w:r>
        <w:rPr>
          <w:rFonts w:asciiTheme="minorHAnsi" w:hAnsiTheme="minorHAnsi"/>
        </w:rPr>
        <w:t xml:space="preserve"> at any particular time.  In other words, distributions from the APT back to the settlor should be made solely in the discretion of the distribution committee, without any influence by the settlor.  Furthermore, the settlor should not fund the APT with </w:t>
      </w:r>
      <w:r w:rsidRPr="00D23523">
        <w:rPr>
          <w:rFonts w:asciiTheme="minorHAnsi" w:hAnsiTheme="minorHAnsi"/>
        </w:rPr>
        <w:t xml:space="preserve">assets that </w:t>
      </w:r>
      <w:r>
        <w:rPr>
          <w:rFonts w:asciiTheme="minorHAnsi" w:hAnsiTheme="minorHAnsi"/>
        </w:rPr>
        <w:t xml:space="preserve">the settlor </w:t>
      </w:r>
      <w:r w:rsidRPr="00D23523">
        <w:rPr>
          <w:rFonts w:asciiTheme="minorHAnsi" w:hAnsiTheme="minorHAnsi"/>
        </w:rPr>
        <w:t xml:space="preserve">will need to pay for living expenses.  </w:t>
      </w:r>
      <w:r>
        <w:rPr>
          <w:rFonts w:asciiTheme="minorHAnsi" w:hAnsiTheme="minorHAnsi"/>
        </w:rPr>
        <w:t xml:space="preserve">The settlor should fund an APT </w:t>
      </w:r>
      <w:r w:rsidRPr="00D23523">
        <w:rPr>
          <w:rFonts w:asciiTheme="minorHAnsi" w:hAnsiTheme="minorHAnsi"/>
        </w:rPr>
        <w:t xml:space="preserve">only with those assets that </w:t>
      </w:r>
      <w:r>
        <w:rPr>
          <w:rFonts w:asciiTheme="minorHAnsi" w:hAnsiTheme="minorHAnsi"/>
        </w:rPr>
        <w:t xml:space="preserve">he or she </w:t>
      </w:r>
      <w:r w:rsidRPr="00D23523">
        <w:rPr>
          <w:rFonts w:asciiTheme="minorHAnsi" w:hAnsiTheme="minorHAnsi"/>
        </w:rPr>
        <w:t xml:space="preserve">will </w:t>
      </w:r>
      <w:r>
        <w:rPr>
          <w:rFonts w:asciiTheme="minorHAnsi" w:hAnsiTheme="minorHAnsi"/>
        </w:rPr>
        <w:t>probably never need</w:t>
      </w:r>
      <w:r w:rsidRPr="00D23523">
        <w:rPr>
          <w:rFonts w:asciiTheme="minorHAnsi" w:hAnsiTheme="minorHAnsi"/>
        </w:rPr>
        <w:t xml:space="preserve">.  </w:t>
      </w:r>
    </w:p>
    <w:p w:rsidR="008A4220" w:rsidRPr="00D23523" w:rsidRDefault="008A4220" w:rsidP="008A4220">
      <w:pPr>
        <w:rPr>
          <w:rFonts w:asciiTheme="minorHAnsi" w:hAnsiTheme="minorHAnsi"/>
        </w:rPr>
      </w:pPr>
    </w:p>
    <w:p w:rsidR="008A4220" w:rsidRPr="00E9446F" w:rsidRDefault="008A4220" w:rsidP="008A4220">
      <w:pPr>
        <w:spacing w:line="360" w:lineRule="auto"/>
        <w:rPr>
          <w:rFonts w:asciiTheme="minorHAnsi" w:hAnsiTheme="minorHAnsi"/>
          <w:b/>
          <w:u w:val="single"/>
        </w:rPr>
      </w:pPr>
      <w:r w:rsidRPr="00E9446F">
        <w:rPr>
          <w:rFonts w:asciiTheme="minorHAnsi" w:hAnsiTheme="minorHAnsi"/>
          <w:b/>
          <w:u w:val="single"/>
        </w:rPr>
        <w:t>Case Study</w:t>
      </w:r>
    </w:p>
    <w:p w:rsidR="008A4220" w:rsidRDefault="008A4220" w:rsidP="008A4220">
      <w:pPr>
        <w:rPr>
          <w:rFonts w:asciiTheme="minorHAnsi" w:hAnsiTheme="minorHAnsi"/>
        </w:rPr>
      </w:pPr>
      <w:r>
        <w:rPr>
          <w:rFonts w:asciiTheme="minorHAnsi" w:hAnsiTheme="minorHAnsi"/>
        </w:rPr>
        <w:t>An example may help clarify the APT structure and its tax benefits.  The client, a Massachusetts resident</w:t>
      </w:r>
      <w:r w:rsidR="005360A4">
        <w:rPr>
          <w:rFonts w:asciiTheme="minorHAnsi" w:hAnsiTheme="minorHAnsi"/>
        </w:rPr>
        <w:t>,</w:t>
      </w:r>
      <w:r>
        <w:rPr>
          <w:rFonts w:asciiTheme="minorHAnsi" w:hAnsiTheme="minorHAnsi"/>
        </w:rPr>
        <w:t xml:space="preserve"> owns stock in a closely-held company that he anticipates will go public in 18 to 24 months, but no deal is currently in place.  The client isn’t concerned about reducing his estate tax exposure, but would like to reduce or eliminate the Massachusetts capital gains tax that will be imposed on his stock if the company goes public and he sells his shares at a significant premium compared to the stock’s current value.  The client’s stock is currently valued at $2 million.  </w:t>
      </w:r>
    </w:p>
    <w:p w:rsidR="008A4220" w:rsidRDefault="008A4220" w:rsidP="008A4220">
      <w:pPr>
        <w:rPr>
          <w:rFonts w:asciiTheme="minorHAnsi" w:hAnsiTheme="minorHAnsi"/>
        </w:rPr>
      </w:pPr>
    </w:p>
    <w:p w:rsidR="008A4220" w:rsidRDefault="008A4220" w:rsidP="008A4220">
      <w:pPr>
        <w:rPr>
          <w:rFonts w:asciiTheme="minorHAnsi" w:hAnsiTheme="minorHAnsi"/>
        </w:rPr>
      </w:pPr>
      <w:r>
        <w:rPr>
          <w:rFonts w:asciiTheme="minorHAnsi" w:hAnsiTheme="minorHAnsi"/>
        </w:rPr>
        <w:t xml:space="preserve">In 2012, the client establishes a New Hampshire APT with a New Hampshire trustee.  He names himself, his wife and his </w:t>
      </w:r>
      <w:r w:rsidR="005360A4">
        <w:rPr>
          <w:rFonts w:asciiTheme="minorHAnsi" w:hAnsiTheme="minorHAnsi"/>
        </w:rPr>
        <w:t xml:space="preserve">three </w:t>
      </w:r>
      <w:r>
        <w:rPr>
          <w:rFonts w:asciiTheme="minorHAnsi" w:hAnsiTheme="minorHAnsi"/>
        </w:rPr>
        <w:t xml:space="preserve">adult children </w:t>
      </w:r>
      <w:r w:rsidR="005360A4">
        <w:rPr>
          <w:rFonts w:asciiTheme="minorHAnsi" w:hAnsiTheme="minorHAnsi"/>
        </w:rPr>
        <w:t xml:space="preserve">and their descendants </w:t>
      </w:r>
      <w:r>
        <w:rPr>
          <w:rFonts w:asciiTheme="minorHAnsi" w:hAnsiTheme="minorHAnsi"/>
        </w:rPr>
        <w:t xml:space="preserve">as the “discretionary” beneficiaries of the APT.  Although any beneficiary is </w:t>
      </w:r>
      <w:r w:rsidRPr="007B0BED">
        <w:rPr>
          <w:rFonts w:asciiTheme="minorHAnsi" w:hAnsiTheme="minorHAnsi"/>
          <w:i/>
        </w:rPr>
        <w:t>eligible</w:t>
      </w:r>
      <w:r>
        <w:rPr>
          <w:rFonts w:asciiTheme="minorHAnsi" w:hAnsiTheme="minorHAnsi"/>
        </w:rPr>
        <w:t xml:space="preserve"> to receive a distribution of income or principal, no beneficiary is </w:t>
      </w:r>
      <w:r>
        <w:rPr>
          <w:rFonts w:asciiTheme="minorHAnsi" w:hAnsiTheme="minorHAnsi"/>
          <w:i/>
        </w:rPr>
        <w:t>entitled</w:t>
      </w:r>
      <w:r>
        <w:rPr>
          <w:rFonts w:asciiTheme="minorHAnsi" w:hAnsiTheme="minorHAnsi"/>
        </w:rPr>
        <w:t xml:space="preserve"> to a distribution from the APT.  The trust agreement names the client’s three children as the “distribution committee.”  The children, as the committee members, have discretion to direct the New Hampshire trustee to distribute trust property to any of the beneficiaries.  The trustee cannot make any distributions unless it’s directed to do so by the distribution committee.  </w:t>
      </w:r>
    </w:p>
    <w:p w:rsidR="008A4220" w:rsidRDefault="008A4220" w:rsidP="008A4220">
      <w:pPr>
        <w:rPr>
          <w:rFonts w:asciiTheme="minorHAnsi" w:hAnsiTheme="minorHAnsi"/>
        </w:rPr>
      </w:pPr>
    </w:p>
    <w:p w:rsidR="008A4220" w:rsidRPr="00BB3676" w:rsidRDefault="008A4220" w:rsidP="008A4220">
      <w:pPr>
        <w:rPr>
          <w:rFonts w:asciiTheme="minorHAnsi" w:hAnsiTheme="minorHAnsi"/>
        </w:rPr>
      </w:pPr>
      <w:r>
        <w:rPr>
          <w:rFonts w:asciiTheme="minorHAnsi" w:hAnsiTheme="minorHAnsi"/>
        </w:rPr>
        <w:t xml:space="preserve">The client’s company goes public in 2014, and the client sells his stock for $10 million.  The $8 million of long term capital gain is subject to the federal capital gains tax, and the tax is payable by the trustee, out of the sale proceeds.  However, the $8 million gain is </w:t>
      </w:r>
      <w:r>
        <w:rPr>
          <w:rFonts w:asciiTheme="minorHAnsi" w:hAnsiTheme="minorHAnsi"/>
          <w:i/>
        </w:rPr>
        <w:t>not</w:t>
      </w:r>
      <w:r>
        <w:rPr>
          <w:rFonts w:asciiTheme="minorHAnsi" w:hAnsiTheme="minorHAnsi"/>
        </w:rPr>
        <w:t xml:space="preserve"> subject to the 5.3% Massachusetts capital gains tax that would have applied if the client had continued to own the stock in his own name at the time of the sale.  As a result, the client avoids the $424,000 Massachusetts tax on the realized gain, </w:t>
      </w:r>
      <w:r w:rsidRPr="00677C9E">
        <w:rPr>
          <w:rFonts w:asciiTheme="minorHAnsi" w:hAnsiTheme="minorHAnsi"/>
          <w:i/>
        </w:rPr>
        <w:t>and</w:t>
      </w:r>
      <w:r>
        <w:rPr>
          <w:rFonts w:asciiTheme="minorHAnsi" w:hAnsiTheme="minorHAnsi"/>
        </w:rPr>
        <w:t xml:space="preserve"> obtains asset protection for the trust property.  Assuming that the trust remains in existence for ten years after the sale, with no distributions, the client will have sheltered approximately $760,000 from tax at the end of the ten year period, as illustrated below:</w:t>
      </w:r>
    </w:p>
    <w:p w:rsidR="008A4220" w:rsidRDefault="008A4220" w:rsidP="008A4220">
      <w:pPr>
        <w:spacing w:line="36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594"/>
        <w:gridCol w:w="2610"/>
      </w:tblGrid>
      <w:tr w:rsidR="008A4220" w:rsidRPr="00677C9E">
        <w:tc>
          <w:tcPr>
            <w:tcW w:w="3978" w:type="dxa"/>
            <w:shd w:val="clear" w:color="auto" w:fill="B6DDE8" w:themeFill="accent5" w:themeFillTint="66"/>
          </w:tcPr>
          <w:p w:rsidR="008A4220" w:rsidRPr="00677C9E" w:rsidRDefault="008A4220" w:rsidP="008716EB">
            <w:pPr>
              <w:rPr>
                <w:rFonts w:asciiTheme="minorHAnsi" w:hAnsiTheme="minorHAnsi"/>
              </w:rPr>
            </w:pPr>
          </w:p>
        </w:tc>
        <w:tc>
          <w:tcPr>
            <w:tcW w:w="2790" w:type="dxa"/>
            <w:shd w:val="clear" w:color="auto" w:fill="B6DDE8" w:themeFill="accent5" w:themeFillTint="66"/>
          </w:tcPr>
          <w:p w:rsidR="008A4220" w:rsidRPr="00110B5A" w:rsidRDefault="008A4220" w:rsidP="008716EB">
            <w:pPr>
              <w:jc w:val="center"/>
              <w:rPr>
                <w:rFonts w:asciiTheme="minorHAnsi" w:hAnsiTheme="minorHAnsi"/>
                <w:b/>
                <w:sz w:val="22"/>
                <w:szCs w:val="22"/>
              </w:rPr>
            </w:pPr>
            <w:r w:rsidRPr="00110B5A">
              <w:rPr>
                <w:rFonts w:asciiTheme="minorHAnsi" w:hAnsiTheme="minorHAnsi"/>
                <w:b/>
                <w:sz w:val="22"/>
                <w:szCs w:val="22"/>
              </w:rPr>
              <w:t>With New Hampshire APT Shelter Trust</w:t>
            </w:r>
          </w:p>
        </w:tc>
        <w:tc>
          <w:tcPr>
            <w:tcW w:w="2808" w:type="dxa"/>
            <w:shd w:val="clear" w:color="auto" w:fill="B6DDE8" w:themeFill="accent5" w:themeFillTint="66"/>
          </w:tcPr>
          <w:p w:rsidR="008A4220" w:rsidRPr="00110B5A" w:rsidRDefault="008A4220" w:rsidP="008716EB">
            <w:pPr>
              <w:jc w:val="center"/>
              <w:rPr>
                <w:rFonts w:asciiTheme="minorHAnsi" w:hAnsiTheme="minorHAnsi"/>
                <w:b/>
                <w:sz w:val="22"/>
                <w:szCs w:val="22"/>
              </w:rPr>
            </w:pPr>
            <w:r w:rsidRPr="00110B5A">
              <w:rPr>
                <w:rFonts w:asciiTheme="minorHAnsi" w:hAnsiTheme="minorHAnsi"/>
                <w:b/>
                <w:sz w:val="22"/>
                <w:szCs w:val="22"/>
              </w:rPr>
              <w:t>Without New Hampshire APT Shelter Trust</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Initial contribution by client (2012)</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$2,000,000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$2,000,000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Plus: Additional proceeds from sale of stock (2014)</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$8,000,000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$8,000,000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Equals: Total after sale</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$10,000,000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$10,000,000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Less: Federal capital gains tax (15%)</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$1,200,000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$1,200,000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Equals: Net assets after federal tax</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$8,800,000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$8,800,000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Less: Massachusetts capital gains tax (5.3%)</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$424,000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Equals: Net assets after federal and state tax</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$8,800,000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$8,376,000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Plus: Appreciation on net assets over ten year period, at 6%/year</w:t>
            </w:r>
          </w:p>
        </w:tc>
        <w:tc>
          <w:tcPr>
            <w:tcW w:w="2790"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$15,759,460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$15,000,140</w:t>
            </w:r>
          </w:p>
        </w:tc>
      </w:tr>
      <w:tr w:rsidR="008A4220" w:rsidRPr="00677C9E">
        <w:tc>
          <w:tcPr>
            <w:tcW w:w="3978" w:type="dxa"/>
          </w:tcPr>
          <w:p w:rsidR="008A4220" w:rsidRPr="00110B5A" w:rsidRDefault="008A4220" w:rsidP="008716EB">
            <w:pPr>
              <w:rPr>
                <w:rFonts w:asciiTheme="minorHAnsi" w:hAnsiTheme="minorHAnsi"/>
                <w:sz w:val="22"/>
                <w:szCs w:val="22"/>
              </w:rPr>
            </w:pPr>
            <w:r w:rsidRPr="00110B5A">
              <w:rPr>
                <w:rFonts w:asciiTheme="minorHAnsi" w:hAnsiTheme="minorHAnsi"/>
                <w:sz w:val="22"/>
                <w:szCs w:val="22"/>
              </w:rPr>
              <w:t>Additional value realized by creating the New Hampshire APT shelter trust</w:t>
            </w:r>
          </w:p>
        </w:tc>
        <w:tc>
          <w:tcPr>
            <w:tcW w:w="2790" w:type="dxa"/>
          </w:tcPr>
          <w:p w:rsidR="008A4220" w:rsidRPr="00110B5A" w:rsidRDefault="008A4220" w:rsidP="008716EB">
            <w:pPr>
              <w:spacing w:line="360" w:lineRule="auto"/>
              <w:jc w:val="right"/>
              <w:rPr>
                <w:rFonts w:asciiTheme="minorHAnsi" w:hAnsiTheme="minorHAnsi"/>
                <w:b/>
                <w:sz w:val="22"/>
                <w:szCs w:val="22"/>
              </w:rPr>
            </w:pPr>
            <w:r w:rsidRPr="00110B5A">
              <w:rPr>
                <w:rFonts w:asciiTheme="minorHAnsi" w:hAnsiTheme="minorHAnsi"/>
                <w:b/>
                <w:sz w:val="22"/>
                <w:szCs w:val="22"/>
              </w:rPr>
              <w:t>$759,320</w:t>
            </w:r>
          </w:p>
        </w:tc>
        <w:tc>
          <w:tcPr>
            <w:tcW w:w="2808" w:type="dxa"/>
          </w:tcPr>
          <w:p w:rsidR="008A4220" w:rsidRPr="00110B5A" w:rsidRDefault="008A4220" w:rsidP="008716EB">
            <w:pPr>
              <w:spacing w:line="360" w:lineRule="auto"/>
              <w:jc w:val="right"/>
              <w:rPr>
                <w:rFonts w:asciiTheme="minorHAnsi" w:hAnsiTheme="minorHAnsi"/>
                <w:sz w:val="22"/>
                <w:szCs w:val="22"/>
              </w:rPr>
            </w:pPr>
            <w:r w:rsidRPr="00110B5A">
              <w:rPr>
                <w:rFonts w:asciiTheme="minorHAnsi" w:hAnsiTheme="minorHAnsi"/>
                <w:sz w:val="22"/>
                <w:szCs w:val="22"/>
              </w:rPr>
              <w:t>$0</w:t>
            </w:r>
          </w:p>
        </w:tc>
      </w:tr>
    </w:tbl>
    <w:p w:rsidR="00CA1761" w:rsidRPr="00A71AF3" w:rsidRDefault="00CA1761" w:rsidP="00CA1761">
      <w:pPr>
        <w:spacing w:line="276" w:lineRule="auto"/>
        <w:ind w:firstLine="720"/>
        <w:rPr>
          <w:rFonts w:asciiTheme="minorHAnsi" w:hAnsiTheme="minorHAnsi"/>
        </w:rPr>
      </w:pPr>
    </w:p>
    <w:p w:rsidR="00CA1761" w:rsidRPr="006A7488" w:rsidRDefault="00CA1761" w:rsidP="00CA1761">
      <w:pPr>
        <w:spacing w:after="240" w:line="276" w:lineRule="auto"/>
        <w:ind w:firstLine="720"/>
        <w:rPr>
          <w:rFonts w:asciiTheme="minorHAnsi" w:hAnsiTheme="minorHAnsi"/>
        </w:rPr>
      </w:pPr>
      <w:r>
        <w:rPr>
          <w:rFonts w:asciiTheme="minorHAnsi" w:hAnsiTheme="minorHAnsi"/>
        </w:rPr>
        <w:t xml:space="preserve">The Granite State’s modern and progressive trust statutes offer Massachusetts families and their attorneys and wealth advisors the proverbial opportunity to have their cake and eat it too. Massachusetts resident advisors can carry out to the fullest extent a trustee’s fiduciary duty </w:t>
      </w:r>
      <w:r w:rsidRPr="00A12D2B">
        <w:rPr>
          <w:rFonts w:asciiTheme="minorHAnsi" w:hAnsiTheme="minorHAnsi"/>
        </w:rPr>
        <w:t>“to preserve the trust property,”</w:t>
      </w:r>
      <w:r>
        <w:rPr>
          <w:rFonts w:asciiTheme="minorHAnsi" w:hAnsiTheme="minorHAnsi"/>
        </w:rPr>
        <w:t xml:space="preserve"> without having to sacrifice their client relationships. To be sure, careful attention must be paid to structuring the trust properly to optimize the benefits of favorable trust jurisdiction. Rewards for this attention to detail include long term security, investment flexibility, confidentiality and mutually beneficial wealth preservation.</w:t>
      </w:r>
    </w:p>
    <w:p w:rsidR="00CA1761" w:rsidRDefault="00CA1761" w:rsidP="00A838FD">
      <w:pPr>
        <w:rPr>
          <w:rFonts w:asciiTheme="minorHAnsi" w:hAnsiTheme="minorHAnsi"/>
          <w:sz w:val="20"/>
          <w:szCs w:val="20"/>
        </w:rPr>
        <w:sectPr w:rsidR="00CA1761">
          <w:headerReference w:type="first" r:id="rId12"/>
          <w:footerReference w:type="first" r:id="rId13"/>
          <w:type w:val="continuous"/>
          <w:pgSz w:w="12240" w:h="15840"/>
          <w:pgMar w:top="1440" w:right="1800" w:bottom="1440" w:left="1800" w:header="288" w:footer="288" w:gutter="0"/>
          <w:pgBorders w:offsetFrom="page">
            <w:top w:val="single" w:sz="8" w:space="24" w:color="auto"/>
            <w:left w:val="single" w:sz="8" w:space="24" w:color="auto"/>
            <w:bottom w:val="single" w:sz="8" w:space="24" w:color="auto"/>
            <w:right w:val="single" w:sz="8" w:space="24" w:color="auto"/>
          </w:pgBorders>
          <w:cols w:sep="1"/>
          <w:titlePg/>
          <w:docGrid w:linePitch="360"/>
        </w:sectPr>
      </w:pPr>
    </w:p>
    <w:p w:rsidR="00A838FD" w:rsidRPr="00E67672" w:rsidRDefault="00A838FD" w:rsidP="00A838FD">
      <w:pPr>
        <w:rPr>
          <w:rFonts w:asciiTheme="minorHAnsi" w:hAnsiTheme="minorHAnsi"/>
          <w:sz w:val="20"/>
          <w:szCs w:val="20"/>
        </w:rPr>
      </w:pPr>
    </w:p>
    <w:sectPr w:rsidR="00A838FD" w:rsidRPr="00E67672" w:rsidSect="004057A2">
      <w:type w:val="continuous"/>
      <w:pgSz w:w="12240" w:h="15840"/>
      <w:pgMar w:top="1440" w:right="1800" w:bottom="1440" w:left="1800" w:header="288" w:footer="288" w:gutter="0"/>
      <w:pgBorders w:offsetFrom="page">
        <w:top w:val="single" w:sz="8" w:space="24" w:color="auto"/>
        <w:left w:val="single" w:sz="8" w:space="24" w:color="auto"/>
        <w:bottom w:val="single" w:sz="8" w:space="24" w:color="auto"/>
        <w:right w:val="single" w:sz="8" w:space="24" w:color="auto"/>
      </w:pgBorders>
      <w:cols w:num="2" w:sep="1"/>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56D2" w:rsidRDefault="00FE56D2">
      <w:r>
        <w:separator/>
      </w:r>
    </w:p>
  </w:endnote>
  <w:endnote w:type="continuationSeparator" w:id="1">
    <w:p w:rsidR="00FE56D2" w:rsidRDefault="00FE56D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Theme="minorHAnsi" w:hAnsiTheme="minorHAnsi" w:cstheme="minorHAnsi"/>
      </w:rPr>
      <w:id w:val="1606458270"/>
      <w:docPartObj>
        <w:docPartGallery w:val="Page Numbers (Bottom of Page)"/>
        <w:docPartUnique/>
      </w:docPartObj>
    </w:sdtPr>
    <w:sdtEndPr>
      <w:rPr>
        <w:noProof/>
      </w:rPr>
    </w:sdtEndPr>
    <w:sdtContent>
      <w:p w:rsidR="00CA1761" w:rsidRPr="00BA2CD7" w:rsidRDefault="00BF1073">
        <w:pPr>
          <w:pStyle w:val="Footer"/>
          <w:rPr>
            <w:rFonts w:asciiTheme="minorHAnsi" w:hAnsiTheme="minorHAnsi" w:cstheme="minorHAnsi"/>
          </w:rPr>
        </w:pPr>
        <w:fldSimple w:instr=" PAGE   \* MERGEFORMAT ">
          <w:r w:rsidR="00CB20C2">
            <w:rPr>
              <w:rFonts w:asciiTheme="minorHAnsi" w:hAnsiTheme="minorHAnsi" w:cstheme="minorHAnsi"/>
              <w:noProof/>
            </w:rPr>
            <w:t>4</w:t>
          </w:r>
        </w:fldSimple>
      </w:p>
    </w:sdtContent>
  </w:sdt>
  <w:p w:rsidR="00CA1761" w:rsidRDefault="00CA176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F9F" w:rsidRDefault="00B12346" w:rsidP="00F5763A">
    <w:pPr>
      <w:pStyle w:val="Footer"/>
      <w:ind w:left="-540"/>
      <w:rPr>
        <w:rFonts w:ascii="Arial" w:hAnsi="Arial" w:cs="Arial"/>
        <w:b/>
        <w:sz w:val="20"/>
        <w:szCs w:val="20"/>
      </w:rPr>
    </w:pPr>
    <w:r>
      <w:rPr>
        <w:rFonts w:ascii="Arial" w:hAnsi="Arial" w:cs="Arial"/>
        <w:b/>
        <w:sz w:val="20"/>
        <w:szCs w:val="20"/>
      </w:rPr>
      <w:t>Fall 2012</w:t>
    </w:r>
  </w:p>
  <w:p w:rsidR="005B3F9F" w:rsidRDefault="005B3F9F" w:rsidP="00F5763A">
    <w:pPr>
      <w:pStyle w:val="Footer"/>
      <w:ind w:left="-540"/>
      <w:rPr>
        <w:rFonts w:ascii="Arial" w:hAnsi="Arial" w:cs="Arial"/>
        <w:b/>
        <w:sz w:val="20"/>
        <w:szCs w:val="20"/>
      </w:rPr>
    </w:pPr>
  </w:p>
  <w:p w:rsidR="005B3F9F" w:rsidRPr="00F5763A" w:rsidRDefault="005B3F9F" w:rsidP="00F5763A">
    <w:pPr>
      <w:pStyle w:val="Footer"/>
      <w:ind w:left="-540"/>
      <w:rPr>
        <w:rFonts w:ascii="Arial" w:hAnsi="Arial" w:cs="Arial"/>
        <w:b/>
        <w:sz w:val="20"/>
        <w:szCs w:val="20"/>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906966755"/>
      <w:docPartObj>
        <w:docPartGallery w:val="Page Numbers (Bottom of Page)"/>
        <w:docPartUnique/>
      </w:docPartObj>
    </w:sdtPr>
    <w:sdtEndPr>
      <w:rPr>
        <w:noProof/>
      </w:rPr>
    </w:sdtEndPr>
    <w:sdtContent>
      <w:p w:rsidR="00CA1761" w:rsidRDefault="00BF1073">
        <w:pPr>
          <w:pStyle w:val="Footer"/>
        </w:pPr>
        <w:fldSimple w:instr=" PAGE   \* MERGEFORMAT ">
          <w:r w:rsidR="008A4220">
            <w:rPr>
              <w:noProof/>
            </w:rPr>
            <w:t>2</w:t>
          </w:r>
        </w:fldSimple>
      </w:p>
    </w:sdtContent>
  </w:sdt>
  <w:p w:rsidR="005B3F9F" w:rsidRPr="00F5763A" w:rsidRDefault="005B3F9F" w:rsidP="001202B2">
    <w:pPr>
      <w:pStyle w:val="Footer"/>
      <w:rPr>
        <w:rFonts w:ascii="Arial" w:hAnsi="Arial" w:cs="Arial"/>
        <w:b/>
        <w:sz w:val="20"/>
        <w:szCs w:val="2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56D2" w:rsidRDefault="00FE56D2">
      <w:r>
        <w:separator/>
      </w:r>
    </w:p>
  </w:footnote>
  <w:footnote w:type="continuationSeparator" w:id="1">
    <w:p w:rsidR="00FE56D2" w:rsidRDefault="00FE56D2">
      <w:r>
        <w:continuationSeparator/>
      </w:r>
    </w:p>
  </w:footnote>
  <w:footnote w:id="2">
    <w:p w:rsidR="008A4220" w:rsidRPr="00BA2CD7" w:rsidRDefault="008A4220" w:rsidP="008A4220">
      <w:pPr>
        <w:pStyle w:val="FootnoteText"/>
        <w:rPr>
          <w:rFonts w:asciiTheme="minorHAnsi" w:hAnsiTheme="minorHAnsi"/>
          <w:sz w:val="16"/>
        </w:rPr>
      </w:pPr>
      <w:r w:rsidRPr="006D2436">
        <w:rPr>
          <w:rStyle w:val="FootnoteReference"/>
          <w:rFonts w:asciiTheme="minorHAnsi" w:hAnsiTheme="minorHAnsi"/>
        </w:rPr>
        <w:footnoteRef/>
      </w:r>
      <w:r w:rsidRPr="006D2436">
        <w:rPr>
          <w:rFonts w:asciiTheme="minorHAnsi" w:hAnsiTheme="minorHAnsi"/>
        </w:rPr>
        <w:t xml:space="preserve"> </w:t>
      </w:r>
      <w:r w:rsidRPr="00BA2CD7">
        <w:rPr>
          <w:rFonts w:asciiTheme="minorHAnsi" w:hAnsiTheme="minorHAnsi"/>
          <w:sz w:val="16"/>
        </w:rPr>
        <w:t xml:space="preserve">This power is called a “limited testamentary power of appointment.”  If the trust agreement gives the settlor a limited testamentary power of appointment, the settlor’s transfer of property to the trust will be an incomplete gift for federal transfer tax purposes, and the trust property will be included in the settlor’s estate for estate tax purposes.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F9F" w:rsidRDefault="005B3F9F" w:rsidP="00F5763A">
    <w:pPr>
      <w:pStyle w:val="Header"/>
      <w:jc w:val="right"/>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F9F" w:rsidRDefault="005B3F9F" w:rsidP="00F5763A">
    <w:pPr>
      <w:pStyle w:val="Header"/>
      <w:tabs>
        <w:tab w:val="clear" w:pos="8640"/>
        <w:tab w:val="right" w:pos="9180"/>
      </w:tabs>
      <w:ind w:right="-540"/>
      <w:jc w:val="right"/>
    </w:pPr>
  </w:p>
  <w:p w:rsidR="005B3F9F" w:rsidRDefault="005B3F9F" w:rsidP="00F5763A">
    <w:pPr>
      <w:pStyle w:val="Header"/>
      <w:tabs>
        <w:tab w:val="clear" w:pos="8640"/>
        <w:tab w:val="right" w:pos="9180"/>
      </w:tabs>
      <w:ind w:right="-540"/>
      <w:jc w:val="right"/>
    </w:pPr>
  </w:p>
  <w:p w:rsidR="005B3F9F" w:rsidRPr="00FC237A" w:rsidRDefault="009C219D" w:rsidP="00F5763A">
    <w:pPr>
      <w:pStyle w:val="Header"/>
      <w:tabs>
        <w:tab w:val="clear" w:pos="8640"/>
        <w:tab w:val="right" w:pos="9180"/>
      </w:tabs>
      <w:ind w:right="-540"/>
      <w:jc w:val="right"/>
    </w:pPr>
    <w:r>
      <w:rPr>
        <w:noProof/>
      </w:rPr>
      <w:drawing>
        <wp:inline distT="0" distB="0" distL="0" distR="0">
          <wp:extent cx="2350306" cy="12141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ccm\My Documents\Concord Trust Company - HM\Graphics\CTC HR Logo.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350306" cy="1214120"/>
                  </a:xfrm>
                  <a:prstGeom prst="rect">
                    <a:avLst/>
                  </a:prstGeom>
                  <a:noFill/>
                  <a:ln w="9525">
                    <a:noFill/>
                    <a:miter lim="800000"/>
                    <a:headEnd/>
                    <a:tailEnd/>
                  </a:ln>
                </pic:spPr>
              </pic:pic>
            </a:graphicData>
          </a:graphic>
        </wp:inline>
      </w:drawing>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F9F" w:rsidRDefault="005B3F9F" w:rsidP="001202B2">
    <w:pPr>
      <w:pStyle w:val="Head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E6947E94"/>
    <w:lvl w:ilvl="0">
      <w:start w:val="1"/>
      <w:numFmt w:val="decimal"/>
      <w:lvlText w:val="%1."/>
      <w:lvlJc w:val="left"/>
      <w:pPr>
        <w:tabs>
          <w:tab w:val="num" w:pos="1800"/>
        </w:tabs>
        <w:ind w:left="1800" w:hanging="360"/>
      </w:pPr>
    </w:lvl>
  </w:abstractNum>
  <w:abstractNum w:abstractNumId="1">
    <w:nsid w:val="FFFFFF7D"/>
    <w:multiLevelType w:val="singleLevel"/>
    <w:tmpl w:val="5936C6EC"/>
    <w:lvl w:ilvl="0">
      <w:start w:val="1"/>
      <w:numFmt w:val="decimal"/>
      <w:lvlText w:val="%1."/>
      <w:lvlJc w:val="left"/>
      <w:pPr>
        <w:tabs>
          <w:tab w:val="num" w:pos="1440"/>
        </w:tabs>
        <w:ind w:left="1440" w:hanging="360"/>
      </w:pPr>
    </w:lvl>
  </w:abstractNum>
  <w:abstractNum w:abstractNumId="2">
    <w:nsid w:val="FFFFFF7E"/>
    <w:multiLevelType w:val="singleLevel"/>
    <w:tmpl w:val="EA148474"/>
    <w:lvl w:ilvl="0">
      <w:start w:val="1"/>
      <w:numFmt w:val="decimal"/>
      <w:lvlText w:val="%1."/>
      <w:lvlJc w:val="left"/>
      <w:pPr>
        <w:tabs>
          <w:tab w:val="num" w:pos="1080"/>
        </w:tabs>
        <w:ind w:left="1080" w:hanging="360"/>
      </w:pPr>
    </w:lvl>
  </w:abstractNum>
  <w:abstractNum w:abstractNumId="3">
    <w:nsid w:val="FFFFFF7F"/>
    <w:multiLevelType w:val="singleLevel"/>
    <w:tmpl w:val="B45E1A02"/>
    <w:lvl w:ilvl="0">
      <w:start w:val="1"/>
      <w:numFmt w:val="decimal"/>
      <w:lvlText w:val="%1."/>
      <w:lvlJc w:val="left"/>
      <w:pPr>
        <w:tabs>
          <w:tab w:val="num" w:pos="720"/>
        </w:tabs>
        <w:ind w:left="720" w:hanging="360"/>
      </w:pPr>
    </w:lvl>
  </w:abstractNum>
  <w:abstractNum w:abstractNumId="4">
    <w:nsid w:val="FFFFFF80"/>
    <w:multiLevelType w:val="singleLevel"/>
    <w:tmpl w:val="7A267F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AEFB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EE38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04C8F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D879E4"/>
    <w:lvl w:ilvl="0">
      <w:start w:val="1"/>
      <w:numFmt w:val="decimal"/>
      <w:lvlText w:val="%1."/>
      <w:lvlJc w:val="left"/>
      <w:pPr>
        <w:tabs>
          <w:tab w:val="num" w:pos="360"/>
        </w:tabs>
        <w:ind w:left="360" w:hanging="360"/>
      </w:pPr>
    </w:lvl>
  </w:abstractNum>
  <w:abstractNum w:abstractNumId="9">
    <w:nsid w:val="FFFFFF89"/>
    <w:multiLevelType w:val="singleLevel"/>
    <w:tmpl w:val="7F3CB9F0"/>
    <w:lvl w:ilvl="0">
      <w:start w:val="1"/>
      <w:numFmt w:val="bullet"/>
      <w:lvlText w:val=""/>
      <w:lvlJc w:val="left"/>
      <w:pPr>
        <w:tabs>
          <w:tab w:val="num" w:pos="360"/>
        </w:tabs>
        <w:ind w:left="360" w:hanging="360"/>
      </w:pPr>
      <w:rPr>
        <w:rFonts w:ascii="Symbol" w:hAnsi="Symbol" w:hint="default"/>
      </w:rPr>
    </w:lvl>
  </w:abstractNum>
  <w:abstractNum w:abstractNumId="10">
    <w:nsid w:val="14453FF2"/>
    <w:multiLevelType w:val="hybridMultilevel"/>
    <w:tmpl w:val="BF5836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C090E79"/>
    <w:multiLevelType w:val="hybridMultilevel"/>
    <w:tmpl w:val="98DA7392"/>
    <w:lvl w:ilvl="0" w:tplc="EDCE828C">
      <w:numFmt w:val="bullet"/>
      <w:lvlText w:val=""/>
      <w:lvlJc w:val="left"/>
      <w:pPr>
        <w:ind w:left="675" w:hanging="405"/>
      </w:pPr>
      <w:rPr>
        <w:rFonts w:ascii="Symbol" w:eastAsia="Times New Roman" w:hAnsi="Symbol" w:cs="Courie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D0A0EAD"/>
    <w:multiLevelType w:val="hybridMultilevel"/>
    <w:tmpl w:val="3D0E9DEC"/>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17EFE"/>
    <w:multiLevelType w:val="hybridMultilevel"/>
    <w:tmpl w:val="59546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6E7C8C"/>
    <w:multiLevelType w:val="hybridMultilevel"/>
    <w:tmpl w:val="DAD0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016538"/>
    <w:multiLevelType w:val="hybridMultilevel"/>
    <w:tmpl w:val="DA30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D3CA3"/>
    <w:multiLevelType w:val="hybridMultilevel"/>
    <w:tmpl w:val="DA5221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0"/>
  </w:num>
  <w:num w:numId="9">
    <w:abstractNumId w:val="2"/>
  </w:num>
  <w:num w:numId="10">
    <w:abstractNumId w:val="1"/>
  </w:num>
  <w:num w:numId="11">
    <w:abstractNumId w:val="16"/>
  </w:num>
  <w:num w:numId="12">
    <w:abstractNumId w:val="11"/>
  </w:num>
  <w:num w:numId="13">
    <w:abstractNumId w:val="15"/>
  </w:num>
  <w:num w:numId="14">
    <w:abstractNumId w:val="12"/>
  </w:num>
  <w:num w:numId="15">
    <w:abstractNumId w:val="10"/>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0004"/>
  <w:doNotTrackMoves/>
  <w:defaultTabStop w:val="720"/>
  <w:noPunctuationKerning/>
  <w:characterSpacingControl w:val="doNotCompress"/>
  <w:hdrShapeDefaults>
    <o:shapedefaults v:ext="edit" spidmax="2050"/>
  </w:hdrShapeDefaults>
  <w:footnotePr>
    <w:footnote w:id="0"/>
    <w:footnote w:id="1"/>
  </w:footnotePr>
  <w:endnotePr>
    <w:endnote w:id="0"/>
    <w:endnote w:id="1"/>
  </w:endnotePr>
  <w:compat/>
  <w:rsids>
    <w:rsidRoot w:val="00073824"/>
    <w:rsid w:val="00010DC7"/>
    <w:rsid w:val="00027709"/>
    <w:rsid w:val="00030D82"/>
    <w:rsid w:val="00042C1E"/>
    <w:rsid w:val="000620DA"/>
    <w:rsid w:val="00073824"/>
    <w:rsid w:val="00097AB0"/>
    <w:rsid w:val="000B4CEF"/>
    <w:rsid w:val="000E09FF"/>
    <w:rsid w:val="000E38E5"/>
    <w:rsid w:val="000F1BD8"/>
    <w:rsid w:val="001013CD"/>
    <w:rsid w:val="00101B45"/>
    <w:rsid w:val="00114242"/>
    <w:rsid w:val="001202B2"/>
    <w:rsid w:val="00126F2C"/>
    <w:rsid w:val="00132D5E"/>
    <w:rsid w:val="0017245E"/>
    <w:rsid w:val="001913FD"/>
    <w:rsid w:val="001B516A"/>
    <w:rsid w:val="001C0CB2"/>
    <w:rsid w:val="001C1F13"/>
    <w:rsid w:val="001D1BBD"/>
    <w:rsid w:val="001D45C0"/>
    <w:rsid w:val="001E6CF0"/>
    <w:rsid w:val="002113AA"/>
    <w:rsid w:val="0029574E"/>
    <w:rsid w:val="002976B1"/>
    <w:rsid w:val="002C2F45"/>
    <w:rsid w:val="002E26B2"/>
    <w:rsid w:val="00301FA3"/>
    <w:rsid w:val="00306A1A"/>
    <w:rsid w:val="003230C1"/>
    <w:rsid w:val="003340DD"/>
    <w:rsid w:val="00342D26"/>
    <w:rsid w:val="0034353E"/>
    <w:rsid w:val="00365EE4"/>
    <w:rsid w:val="00384AA7"/>
    <w:rsid w:val="00385F4A"/>
    <w:rsid w:val="0039764B"/>
    <w:rsid w:val="003B0BC4"/>
    <w:rsid w:val="003B5A65"/>
    <w:rsid w:val="003B6711"/>
    <w:rsid w:val="003E4FFF"/>
    <w:rsid w:val="003E63A6"/>
    <w:rsid w:val="003F698D"/>
    <w:rsid w:val="004057A2"/>
    <w:rsid w:val="0048759A"/>
    <w:rsid w:val="004A07EE"/>
    <w:rsid w:val="004C658D"/>
    <w:rsid w:val="005360A4"/>
    <w:rsid w:val="00562656"/>
    <w:rsid w:val="00564455"/>
    <w:rsid w:val="005843D0"/>
    <w:rsid w:val="005B012A"/>
    <w:rsid w:val="005B3F9F"/>
    <w:rsid w:val="005D3CF4"/>
    <w:rsid w:val="005F52AA"/>
    <w:rsid w:val="006011DA"/>
    <w:rsid w:val="00640A64"/>
    <w:rsid w:val="006475BA"/>
    <w:rsid w:val="0065301E"/>
    <w:rsid w:val="0065395A"/>
    <w:rsid w:val="00663175"/>
    <w:rsid w:val="0067113F"/>
    <w:rsid w:val="00681296"/>
    <w:rsid w:val="0068157E"/>
    <w:rsid w:val="00694906"/>
    <w:rsid w:val="006A262B"/>
    <w:rsid w:val="006F1364"/>
    <w:rsid w:val="00745B5C"/>
    <w:rsid w:val="00757D59"/>
    <w:rsid w:val="00761112"/>
    <w:rsid w:val="0076118D"/>
    <w:rsid w:val="0077288A"/>
    <w:rsid w:val="0078768B"/>
    <w:rsid w:val="00796243"/>
    <w:rsid w:val="007A1EAD"/>
    <w:rsid w:val="007A59A4"/>
    <w:rsid w:val="007C7405"/>
    <w:rsid w:val="007F1CAF"/>
    <w:rsid w:val="0083057E"/>
    <w:rsid w:val="00841087"/>
    <w:rsid w:val="0087148B"/>
    <w:rsid w:val="00895569"/>
    <w:rsid w:val="008A4220"/>
    <w:rsid w:val="008A6FE0"/>
    <w:rsid w:val="008B5EAD"/>
    <w:rsid w:val="008C58FF"/>
    <w:rsid w:val="00913BE4"/>
    <w:rsid w:val="0094131E"/>
    <w:rsid w:val="00950849"/>
    <w:rsid w:val="00986B32"/>
    <w:rsid w:val="00990588"/>
    <w:rsid w:val="00994957"/>
    <w:rsid w:val="009A0635"/>
    <w:rsid w:val="009A20CF"/>
    <w:rsid w:val="009C219D"/>
    <w:rsid w:val="009E3DB8"/>
    <w:rsid w:val="009E5187"/>
    <w:rsid w:val="00A018C0"/>
    <w:rsid w:val="00A12B2F"/>
    <w:rsid w:val="00A15FE8"/>
    <w:rsid w:val="00A2147E"/>
    <w:rsid w:val="00A43E02"/>
    <w:rsid w:val="00A460F2"/>
    <w:rsid w:val="00A838FD"/>
    <w:rsid w:val="00AD5179"/>
    <w:rsid w:val="00B00C53"/>
    <w:rsid w:val="00B12346"/>
    <w:rsid w:val="00B14AB7"/>
    <w:rsid w:val="00B372D6"/>
    <w:rsid w:val="00B42EBD"/>
    <w:rsid w:val="00B51256"/>
    <w:rsid w:val="00B5187D"/>
    <w:rsid w:val="00B575F5"/>
    <w:rsid w:val="00B74E21"/>
    <w:rsid w:val="00BA2CD7"/>
    <w:rsid w:val="00BA6376"/>
    <w:rsid w:val="00BF082C"/>
    <w:rsid w:val="00BF1073"/>
    <w:rsid w:val="00C00034"/>
    <w:rsid w:val="00C13AA7"/>
    <w:rsid w:val="00C26B9F"/>
    <w:rsid w:val="00C32814"/>
    <w:rsid w:val="00C55F3F"/>
    <w:rsid w:val="00C8517A"/>
    <w:rsid w:val="00CA1761"/>
    <w:rsid w:val="00CB20C2"/>
    <w:rsid w:val="00CC7080"/>
    <w:rsid w:val="00CD3190"/>
    <w:rsid w:val="00CD6FDA"/>
    <w:rsid w:val="00CD7A4C"/>
    <w:rsid w:val="00CF070B"/>
    <w:rsid w:val="00CF0861"/>
    <w:rsid w:val="00D57952"/>
    <w:rsid w:val="00D74CFB"/>
    <w:rsid w:val="00DA64A8"/>
    <w:rsid w:val="00DB52CC"/>
    <w:rsid w:val="00DB60BD"/>
    <w:rsid w:val="00DC18B3"/>
    <w:rsid w:val="00DE3FB3"/>
    <w:rsid w:val="00E02C50"/>
    <w:rsid w:val="00E04F46"/>
    <w:rsid w:val="00E20354"/>
    <w:rsid w:val="00E22AA4"/>
    <w:rsid w:val="00E474C8"/>
    <w:rsid w:val="00E515B4"/>
    <w:rsid w:val="00E67672"/>
    <w:rsid w:val="00E678E5"/>
    <w:rsid w:val="00E724FD"/>
    <w:rsid w:val="00E75396"/>
    <w:rsid w:val="00E7621B"/>
    <w:rsid w:val="00EC0E37"/>
    <w:rsid w:val="00ED52E5"/>
    <w:rsid w:val="00EE223B"/>
    <w:rsid w:val="00F00234"/>
    <w:rsid w:val="00F3039B"/>
    <w:rsid w:val="00F33428"/>
    <w:rsid w:val="00F33D2C"/>
    <w:rsid w:val="00F5763A"/>
    <w:rsid w:val="00F70D82"/>
    <w:rsid w:val="00FA5EE4"/>
    <w:rsid w:val="00FC237A"/>
    <w:rsid w:val="00FC2C15"/>
    <w:rsid w:val="00FD04CC"/>
    <w:rsid w:val="00FD220C"/>
    <w:rsid w:val="00FE0186"/>
    <w:rsid w:val="00FE56D2"/>
    <w:rsid w:val="00FF56A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31E"/>
    <w:rPr>
      <w:sz w:val="24"/>
      <w:szCs w:val="24"/>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basedOn w:val="DefaultParagraphFont"/>
    <w:link w:val="Heading2"/>
    <w:rsid w:val="0078768B"/>
    <w:rPr>
      <w:rFonts w:ascii="Arial" w:hAnsi="Arial" w:cs="Arial"/>
      <w:bCs/>
      <w:i/>
      <w:iCs/>
      <w:sz w:val="24"/>
      <w:szCs w:val="28"/>
      <w:lang w:val="en-US" w:eastAsia="en-US" w:bidi="ar-SA"/>
    </w:rPr>
  </w:style>
  <w:style w:type="character" w:styleId="Hyperlink">
    <w:name w:val="Hyperlink"/>
    <w:basedOn w:val="DefaultParagraphFont"/>
    <w:rsid w:val="00B575F5"/>
    <w:rPr>
      <w:color w:val="0000FF"/>
      <w:u w:val="single"/>
    </w:rPr>
  </w:style>
  <w:style w:type="paragraph" w:styleId="TOC1">
    <w:name w:val="toc 1"/>
    <w:basedOn w:val="Normal"/>
    <w:next w:val="Normal"/>
    <w:autoRedefine/>
    <w:semiHidden/>
    <w:rsid w:val="000620DA"/>
    <w:pPr>
      <w:spacing w:line="360" w:lineRule="auto"/>
    </w:pPr>
    <w:rPr>
      <w:rFonts w:ascii="Arial" w:hAnsi="Arial"/>
      <w:b/>
      <w:sz w:val="20"/>
    </w:rPr>
  </w:style>
  <w:style w:type="paragraph" w:styleId="BalloonText">
    <w:name w:val="Balloon Text"/>
    <w:basedOn w:val="Normal"/>
    <w:link w:val="BalloonTextChar"/>
    <w:rsid w:val="00A838FD"/>
    <w:rPr>
      <w:rFonts w:ascii="Tahoma" w:hAnsi="Tahoma" w:cs="Tahoma"/>
      <w:sz w:val="16"/>
      <w:szCs w:val="16"/>
    </w:rPr>
  </w:style>
  <w:style w:type="character" w:customStyle="1" w:styleId="BalloonTextChar">
    <w:name w:val="Balloon Text Char"/>
    <w:basedOn w:val="DefaultParagraphFont"/>
    <w:link w:val="BalloonText"/>
    <w:rsid w:val="00A838FD"/>
    <w:rPr>
      <w:rFonts w:ascii="Tahoma" w:hAnsi="Tahoma" w:cs="Tahoma"/>
      <w:sz w:val="16"/>
      <w:szCs w:val="16"/>
    </w:rPr>
  </w:style>
  <w:style w:type="paragraph" w:styleId="DocumentMap">
    <w:name w:val="Document Map"/>
    <w:basedOn w:val="Normal"/>
    <w:link w:val="DocumentMapChar"/>
    <w:rsid w:val="002C2F45"/>
    <w:rPr>
      <w:rFonts w:ascii="Tahoma" w:hAnsi="Tahoma" w:cs="Tahoma"/>
      <w:sz w:val="16"/>
      <w:szCs w:val="16"/>
    </w:rPr>
  </w:style>
  <w:style w:type="character" w:customStyle="1" w:styleId="DocumentMapChar">
    <w:name w:val="Document Map Char"/>
    <w:basedOn w:val="DefaultParagraphFont"/>
    <w:link w:val="DocumentMap"/>
    <w:rsid w:val="002C2F45"/>
    <w:rPr>
      <w:rFonts w:ascii="Tahoma" w:hAnsi="Tahoma" w:cs="Tahoma"/>
      <w:sz w:val="16"/>
      <w:szCs w:val="16"/>
    </w:rPr>
  </w:style>
  <w:style w:type="paragraph" w:styleId="ListParagraph">
    <w:name w:val="List Paragraph"/>
    <w:basedOn w:val="Normal"/>
    <w:uiPriority w:val="34"/>
    <w:qFormat/>
    <w:rsid w:val="00C13AA7"/>
    <w:pPr>
      <w:ind w:left="720"/>
      <w:contextualSpacing/>
    </w:pPr>
  </w:style>
  <w:style w:type="paragraph" w:styleId="EndnoteText">
    <w:name w:val="endnote text"/>
    <w:basedOn w:val="Normal"/>
    <w:link w:val="EndnoteTextChar"/>
    <w:rsid w:val="00DC18B3"/>
    <w:rPr>
      <w:sz w:val="20"/>
      <w:szCs w:val="20"/>
    </w:rPr>
  </w:style>
  <w:style w:type="character" w:customStyle="1" w:styleId="EndnoteTextChar">
    <w:name w:val="Endnote Text Char"/>
    <w:basedOn w:val="DefaultParagraphFont"/>
    <w:link w:val="EndnoteText"/>
    <w:rsid w:val="00DC18B3"/>
  </w:style>
  <w:style w:type="character" w:styleId="EndnoteReference">
    <w:name w:val="endnote reference"/>
    <w:basedOn w:val="DefaultParagraphFont"/>
    <w:rsid w:val="00DC18B3"/>
    <w:rPr>
      <w:vertAlign w:val="superscript"/>
    </w:rPr>
  </w:style>
  <w:style w:type="character" w:customStyle="1" w:styleId="FooterChar">
    <w:name w:val="Footer Char"/>
    <w:basedOn w:val="DefaultParagraphFont"/>
    <w:link w:val="Footer"/>
    <w:uiPriority w:val="99"/>
    <w:rsid w:val="00CA1761"/>
    <w:rPr>
      <w:sz w:val="24"/>
      <w:szCs w:val="24"/>
    </w:rPr>
  </w:style>
  <w:style w:type="character" w:styleId="FootnoteReference">
    <w:name w:val="footnote reference"/>
    <w:rsid w:val="008A4220"/>
    <w:rPr>
      <w:vertAlign w:val="superscript"/>
    </w:rPr>
  </w:style>
  <w:style w:type="paragraph" w:styleId="FootnoteText">
    <w:name w:val="footnote text"/>
    <w:basedOn w:val="Normal"/>
    <w:link w:val="FootnoteTextChar"/>
    <w:rsid w:val="008A4220"/>
    <w:rPr>
      <w:color w:val="000000"/>
      <w:sz w:val="20"/>
      <w:szCs w:val="20"/>
    </w:rPr>
  </w:style>
  <w:style w:type="character" w:customStyle="1" w:styleId="FootnoteTextChar">
    <w:name w:val="Footnote Text Char"/>
    <w:basedOn w:val="DefaultParagraphFont"/>
    <w:link w:val="FootnoteText"/>
    <w:rsid w:val="008A422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31E"/>
    <w:rPr>
      <w:sz w:val="24"/>
      <w:szCs w:val="24"/>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basedOn w:val="DefaultParagraphFont"/>
    <w:link w:val="Heading2"/>
    <w:rsid w:val="0078768B"/>
    <w:rPr>
      <w:rFonts w:ascii="Arial" w:hAnsi="Arial" w:cs="Arial"/>
      <w:bCs/>
      <w:i/>
      <w:iCs/>
      <w:sz w:val="24"/>
      <w:szCs w:val="28"/>
      <w:lang w:val="en-US" w:eastAsia="en-US" w:bidi="ar-SA"/>
    </w:rPr>
  </w:style>
  <w:style w:type="character" w:styleId="Hyperlink">
    <w:name w:val="Hyperlink"/>
    <w:basedOn w:val="DefaultParagraphFont"/>
    <w:rsid w:val="00B575F5"/>
    <w:rPr>
      <w:color w:val="0000FF"/>
      <w:u w:val="single"/>
    </w:rPr>
  </w:style>
  <w:style w:type="paragraph" w:styleId="TOC1">
    <w:name w:val="toc 1"/>
    <w:basedOn w:val="Normal"/>
    <w:next w:val="Normal"/>
    <w:autoRedefine/>
    <w:semiHidden/>
    <w:rsid w:val="000620DA"/>
    <w:pPr>
      <w:spacing w:line="360" w:lineRule="auto"/>
    </w:pPr>
    <w:rPr>
      <w:rFonts w:ascii="Arial" w:hAnsi="Arial"/>
      <w:b/>
      <w:sz w:val="20"/>
    </w:rPr>
  </w:style>
  <w:style w:type="paragraph" w:styleId="BalloonText">
    <w:name w:val="Balloon Text"/>
    <w:basedOn w:val="Normal"/>
    <w:link w:val="BalloonTextChar"/>
    <w:rsid w:val="00A838FD"/>
    <w:rPr>
      <w:rFonts w:ascii="Tahoma" w:hAnsi="Tahoma" w:cs="Tahoma"/>
      <w:sz w:val="16"/>
      <w:szCs w:val="16"/>
    </w:rPr>
  </w:style>
  <w:style w:type="character" w:customStyle="1" w:styleId="BalloonTextChar">
    <w:name w:val="Balloon Text Char"/>
    <w:basedOn w:val="DefaultParagraphFont"/>
    <w:link w:val="BalloonText"/>
    <w:rsid w:val="00A838FD"/>
    <w:rPr>
      <w:rFonts w:ascii="Tahoma" w:hAnsi="Tahoma" w:cs="Tahoma"/>
      <w:sz w:val="16"/>
      <w:szCs w:val="16"/>
    </w:rPr>
  </w:style>
  <w:style w:type="paragraph" w:styleId="DocumentMap">
    <w:name w:val="Document Map"/>
    <w:basedOn w:val="Normal"/>
    <w:link w:val="DocumentMapChar"/>
    <w:rsid w:val="002C2F45"/>
    <w:rPr>
      <w:rFonts w:ascii="Tahoma" w:hAnsi="Tahoma" w:cs="Tahoma"/>
      <w:sz w:val="16"/>
      <w:szCs w:val="16"/>
    </w:rPr>
  </w:style>
  <w:style w:type="character" w:customStyle="1" w:styleId="DocumentMapChar">
    <w:name w:val="Document Map Char"/>
    <w:basedOn w:val="DefaultParagraphFont"/>
    <w:link w:val="DocumentMap"/>
    <w:rsid w:val="002C2F45"/>
    <w:rPr>
      <w:rFonts w:ascii="Tahoma" w:hAnsi="Tahoma" w:cs="Tahoma"/>
      <w:sz w:val="16"/>
      <w:szCs w:val="16"/>
    </w:rPr>
  </w:style>
  <w:style w:type="paragraph" w:styleId="ListParagraph">
    <w:name w:val="List Paragraph"/>
    <w:basedOn w:val="Normal"/>
    <w:uiPriority w:val="34"/>
    <w:qFormat/>
    <w:rsid w:val="00C13AA7"/>
    <w:pPr>
      <w:ind w:left="720"/>
      <w:contextualSpacing/>
    </w:pPr>
  </w:style>
  <w:style w:type="paragraph" w:styleId="EndnoteText">
    <w:name w:val="endnote text"/>
    <w:basedOn w:val="Normal"/>
    <w:link w:val="EndnoteTextChar"/>
    <w:rsid w:val="00DC18B3"/>
    <w:rPr>
      <w:sz w:val="20"/>
      <w:szCs w:val="20"/>
    </w:rPr>
  </w:style>
  <w:style w:type="character" w:customStyle="1" w:styleId="EndnoteTextChar">
    <w:name w:val="Endnote Text Char"/>
    <w:basedOn w:val="DefaultParagraphFont"/>
    <w:link w:val="EndnoteText"/>
    <w:rsid w:val="00DC18B3"/>
  </w:style>
  <w:style w:type="character" w:styleId="EndnoteReference">
    <w:name w:val="endnote reference"/>
    <w:basedOn w:val="DefaultParagraphFont"/>
    <w:rsid w:val="00DC18B3"/>
    <w:rPr>
      <w:vertAlign w:val="superscript"/>
    </w:rPr>
  </w:style>
  <w:style w:type="character" w:customStyle="1" w:styleId="FooterChar">
    <w:name w:val="Footer Char"/>
    <w:basedOn w:val="DefaultParagraphFont"/>
    <w:link w:val="Footer"/>
    <w:uiPriority w:val="99"/>
    <w:rsid w:val="00CA1761"/>
    <w:rPr>
      <w:sz w:val="24"/>
      <w:szCs w:val="24"/>
    </w:rPr>
  </w:style>
  <w:style w:type="character" w:styleId="FootnoteReference">
    <w:name w:val="footnote reference"/>
    <w:rsid w:val="008A4220"/>
    <w:rPr>
      <w:vertAlign w:val="superscript"/>
    </w:rPr>
  </w:style>
  <w:style w:type="paragraph" w:styleId="FootnoteText">
    <w:name w:val="footnote text"/>
    <w:basedOn w:val="Normal"/>
    <w:link w:val="FootnoteTextChar"/>
    <w:rsid w:val="008A4220"/>
    <w:rPr>
      <w:color w:val="000000"/>
      <w:sz w:val="20"/>
      <w:szCs w:val="20"/>
    </w:rPr>
  </w:style>
  <w:style w:type="character" w:customStyle="1" w:styleId="FootnoteTextChar">
    <w:name w:val="Footnote Text Char"/>
    <w:basedOn w:val="DefaultParagraphFont"/>
    <w:link w:val="FootnoteText"/>
    <w:rsid w:val="008A4220"/>
    <w:rPr>
      <w:color w:val="00000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m\Local%20Settings\Temp\wzb9cb\CTC%20White%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758D9-5835-4AEC-BCBF-5A922F8E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Settings\ccm\Local Settings\Temp\wzb9cb\CTC White Paper Template.dotx</Template>
  <TotalTime>1</TotalTime>
  <Pages>4</Pages>
  <Words>1013</Words>
  <Characters>5776</Characters>
  <Application>Microsoft Word 12.0.0</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Severna Publications</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Hope</dc:creator>
  <cp:lastModifiedBy>Clyde Logue</cp:lastModifiedBy>
  <cp:revision>2</cp:revision>
  <cp:lastPrinted>2012-04-19T13:43:00Z</cp:lastPrinted>
  <dcterms:created xsi:type="dcterms:W3CDTF">2012-09-04T14:27:00Z</dcterms:created>
  <dcterms:modified xsi:type="dcterms:W3CDTF">2012-09-04T14:27:00Z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TC100435441033</vt:lpwstr>
  </property>
</Properties>
</file>